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F6094D" w:rsidP="00BF2165">
      <w:pPr>
        <w:jc w:val="center"/>
        <w:rPr>
          <w:rFonts w:ascii="Arial" w:hAnsi="Arial" w:cs="Arial"/>
          <w:b/>
          <w:sz w:val="20"/>
          <w:szCs w:val="20"/>
        </w:rPr>
      </w:pPr>
      <w:r>
        <w:rPr>
          <w:rFonts w:ascii="Arial" w:hAnsi="Arial" w:cs="Arial"/>
          <w:b/>
          <w:sz w:val="20"/>
          <w:szCs w:val="20"/>
        </w:rPr>
        <w:t>Certificate</w:t>
      </w:r>
      <w:r w:rsidR="00155008">
        <w:rPr>
          <w:rFonts w:ascii="Arial" w:hAnsi="Arial" w:cs="Arial"/>
          <w:b/>
          <w:sz w:val="20"/>
          <w:szCs w:val="20"/>
        </w:rPr>
        <w:t xml:space="preserve"> in </w:t>
      </w:r>
      <w:r>
        <w:rPr>
          <w:rFonts w:ascii="Arial" w:hAnsi="Arial" w:cs="Arial"/>
          <w:b/>
          <w:sz w:val="20"/>
          <w:szCs w:val="20"/>
        </w:rPr>
        <w:t>Risk in Financial Services</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E65289"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Investment by Foreign Portfolio Investors (FPI) in Debt – Relaxations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Overseas foreign currency borrowings of Authorised Dealer Category-I banks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Board approved Loan Policy – Management of Advances – UCBs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(Borrowing and Lending) (Amendment) Regulations, 2022</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Master Circular - Credit facilities to Scheduled Castes (SCs) &amp; Scheduled Tribes (STs)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External Commercial Borrowings (ECB) Policy – Liberalisation Measures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Master Circular on Credit Facilities to Minority Communities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Bilateral Netting of Qualified Financial Contracts - Amendments to Prudential Guidelines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315354" w:rsidRDefault="005748AD" w:rsidP="00155008">
            <w:pPr>
              <w:spacing w:line="240" w:lineRule="auto"/>
              <w:jc w:val="both"/>
              <w:rPr>
                <w:rFonts w:ascii="Calibri" w:hAnsi="Calibri" w:cs="Calibri"/>
                <w:color w:val="000000"/>
                <w:sz w:val="20"/>
                <w:szCs w:val="20"/>
              </w:rPr>
            </w:pPr>
            <w:r w:rsidRPr="00315354">
              <w:rPr>
                <w:rFonts w:ascii="Calibri" w:hAnsi="Calibri" w:cs="Calibri"/>
                <w:color w:val="000000"/>
                <w:sz w:val="20"/>
                <w:szCs w:val="20"/>
              </w:rPr>
              <w:t>Review of Prudential Norms – Risk Weights for Exposures guaranteed by Credit Guarantee Schemes (CGS)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(Unhedged Foreign Currency Exposure) Directions, 2022</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Basel III Framework on Liquidity Standards – Standing Deposit Facility</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Notification of Significant Benchmark</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Revised Regulatory Framework for Urban Co-operative Banks (UCBs) – Net Worth and Capital Adequacy</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material items</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Default="005748AD" w:rsidP="00155008">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213882" w:rsidRDefault="00213882" w:rsidP="00155008">
      <w:pPr>
        <w:spacing w:after="0"/>
        <w:jc w:val="both"/>
        <w:rPr>
          <w:rFonts w:ascii="Arial" w:hAnsi="Arial" w:cs="Arial"/>
          <w:sz w:val="20"/>
          <w:szCs w:val="20"/>
        </w:rPr>
      </w:pPr>
    </w:p>
    <w:p w:rsidR="00BB5162" w:rsidRDefault="00BB5162" w:rsidP="00155008">
      <w:pPr>
        <w:spacing w:after="0"/>
        <w:jc w:val="both"/>
        <w:rPr>
          <w:rFonts w:ascii="Arial" w:hAnsi="Arial" w:cs="Arial"/>
          <w:sz w:val="20"/>
          <w:szCs w:val="20"/>
        </w:rPr>
      </w:pPr>
    </w:p>
    <w:p w:rsidR="00BB5162" w:rsidRDefault="00BB5162" w:rsidP="00155008">
      <w:pPr>
        <w:spacing w:after="0"/>
        <w:jc w:val="both"/>
        <w:rPr>
          <w:rFonts w:ascii="Arial" w:hAnsi="Arial" w:cs="Arial"/>
          <w:sz w:val="20"/>
          <w:szCs w:val="20"/>
        </w:rPr>
      </w:pPr>
    </w:p>
    <w:p w:rsidR="00BB5162" w:rsidRDefault="00BB5162" w:rsidP="00155008">
      <w:pPr>
        <w:spacing w:after="0"/>
        <w:jc w:val="both"/>
        <w:rPr>
          <w:rFonts w:ascii="Arial" w:hAnsi="Arial" w:cs="Arial"/>
          <w:sz w:val="20"/>
          <w:szCs w:val="20"/>
        </w:rPr>
      </w:pPr>
    </w:p>
    <w:p w:rsidR="00BB5162" w:rsidRDefault="00BB5162" w:rsidP="00155008">
      <w:pPr>
        <w:spacing w:after="0"/>
        <w:jc w:val="both"/>
        <w:rPr>
          <w:rFonts w:ascii="Arial" w:hAnsi="Arial" w:cs="Arial"/>
          <w:sz w:val="20"/>
          <w:szCs w:val="20"/>
        </w:rPr>
      </w:pPr>
    </w:p>
    <w:p w:rsidR="00BB5162" w:rsidRDefault="00BB5162" w:rsidP="00155008">
      <w:pPr>
        <w:spacing w:after="0"/>
        <w:jc w:val="both"/>
        <w:rPr>
          <w:rFonts w:ascii="Arial" w:hAnsi="Arial" w:cs="Arial"/>
          <w:b/>
          <w:bCs/>
          <w:color w:val="000000"/>
          <w:sz w:val="20"/>
          <w:szCs w:val="20"/>
        </w:rPr>
      </w:pPr>
    </w:p>
    <w:p w:rsidR="00213882" w:rsidRDefault="00213882" w:rsidP="00155008">
      <w:pPr>
        <w:spacing w:after="0"/>
        <w:jc w:val="both"/>
        <w:rPr>
          <w:rFonts w:ascii="Arial" w:hAnsi="Arial" w:cs="Arial"/>
          <w:b/>
          <w:bCs/>
          <w:color w:val="000000"/>
          <w:sz w:val="20"/>
          <w:szCs w:val="20"/>
        </w:rPr>
      </w:pPr>
    </w:p>
    <w:p w:rsidR="00155008" w:rsidRDefault="00155008" w:rsidP="00155008">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July 07,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Madam/Sir,</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6"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7"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w:t>
      </w:r>
      <w:hyperlink r:id="rId8"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In terms of paragraphs 4(b)(i)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 xml:space="preserve">4.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may bring the contents of this circular to the notice of their constituents and customers concerned.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155008" w:rsidRPr="002C55B6" w:rsidRDefault="00155008" w:rsidP="00155008">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Yours faithfully,</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 xml:space="preserve">(Dimple </w:t>
      </w:r>
      <w:proofErr w:type="spellStart"/>
      <w:r w:rsidRPr="00FB49BF">
        <w:rPr>
          <w:rFonts w:ascii="Arial" w:hAnsi="Arial" w:cs="Arial"/>
          <w:sz w:val="20"/>
          <w:szCs w:val="20"/>
        </w:rPr>
        <w:t>Bhandia</w:t>
      </w:r>
      <w:proofErr w:type="spellEnd"/>
      <w:r w:rsidRPr="00FB49BF">
        <w:rPr>
          <w:rFonts w:ascii="Arial" w:hAnsi="Arial" w:cs="Arial"/>
          <w:sz w:val="20"/>
          <w:szCs w:val="20"/>
        </w:rPr>
        <w:t>)</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Chief General Manager</w:t>
      </w:r>
    </w:p>
    <w:p w:rsidR="00155008" w:rsidRDefault="00155008" w:rsidP="00155008"/>
    <w:p w:rsidR="00155008" w:rsidRDefault="00155008" w:rsidP="00155008">
      <w:r>
        <w:t>More details can be referred to in the below link.</w:t>
      </w:r>
    </w:p>
    <w:p w:rsidR="00155008" w:rsidRDefault="00155008" w:rsidP="00155008">
      <w:pPr>
        <w:spacing w:after="0"/>
        <w:jc w:val="both"/>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200311">
          <w:rPr>
            <w:rStyle w:val="Hyperlink"/>
            <w:rFonts w:ascii="Arial" w:hAnsi="Arial" w:cs="Arial"/>
            <w:bCs/>
            <w:sz w:val="20"/>
            <w:szCs w:val="20"/>
          </w:rPr>
          <w:t>https://rbi.org.in/scripts/FS_Notification.aspx?Id=12355&amp;fn=6&amp;Mode=0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213882" w:rsidRDefault="00213882" w:rsidP="00213882">
      <w:pPr>
        <w:spacing w:after="0"/>
        <w:jc w:val="both"/>
        <w:rPr>
          <w:rFonts w:ascii="Arial" w:hAnsi="Arial" w:cs="Arial"/>
          <w:b/>
          <w:bCs/>
          <w:color w:val="000000"/>
          <w:sz w:val="20"/>
          <w:szCs w:val="20"/>
        </w:rPr>
      </w:pPr>
      <w:r>
        <w:rPr>
          <w:rFonts w:ascii="Arial" w:hAnsi="Arial" w:cs="Arial"/>
          <w:b/>
          <w:bCs/>
          <w:color w:val="000000"/>
          <w:sz w:val="20"/>
          <w:szCs w:val="20"/>
        </w:rPr>
        <w:lastRenderedPageBreak/>
        <w:t>Overseas foreign currency borrowings of Authorised Dealer Category-I banks</w:t>
      </w:r>
    </w:p>
    <w:p w:rsidR="00213882" w:rsidRDefault="00213882" w:rsidP="00213882">
      <w:pPr>
        <w:spacing w:after="0"/>
        <w:jc w:val="both"/>
        <w:rPr>
          <w:rFonts w:ascii="Arial" w:hAnsi="Arial" w:cs="Arial"/>
          <w:b/>
          <w:bCs/>
          <w:color w:val="000000"/>
          <w:sz w:val="20"/>
          <w:szCs w:val="20"/>
        </w:rPr>
      </w:pP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July 07, 2022</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Madam/Sir,</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10"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11"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12"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13"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14"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213882" w:rsidRDefault="00213882" w:rsidP="0021388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213882" w:rsidRPr="001B0D06" w:rsidRDefault="00213882" w:rsidP="0021388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213882" w:rsidRDefault="00213882" w:rsidP="00213882"/>
    <w:p w:rsidR="00213882" w:rsidRDefault="00213882" w:rsidP="00213882"/>
    <w:p w:rsidR="00213882" w:rsidRDefault="00213882" w:rsidP="00213882">
      <w:r>
        <w:t>More details can be referred to in the below link.</w:t>
      </w:r>
    </w:p>
    <w:p w:rsidR="00213882" w:rsidRDefault="00213882" w:rsidP="00213882">
      <w:pPr>
        <w:spacing w:after="0"/>
        <w:jc w:val="both"/>
        <w:rPr>
          <w:rFonts w:ascii="Arial" w:hAnsi="Arial" w:cs="Arial"/>
          <w:sz w:val="20"/>
          <w:szCs w:val="20"/>
        </w:rPr>
      </w:pPr>
    </w:p>
    <w:p w:rsidR="00213882" w:rsidRDefault="00213882" w:rsidP="00213882">
      <w:pPr>
        <w:spacing w:after="0"/>
        <w:jc w:val="both"/>
        <w:rPr>
          <w:rFonts w:ascii="Arial" w:hAnsi="Arial" w:cs="Arial"/>
          <w:sz w:val="20"/>
          <w:szCs w:val="20"/>
        </w:rPr>
      </w:pPr>
      <w:r>
        <w:rPr>
          <w:rFonts w:ascii="Arial" w:hAnsi="Arial" w:cs="Arial"/>
          <w:sz w:val="20"/>
          <w:szCs w:val="20"/>
        </w:rPr>
        <w:t>Reference Link:</w:t>
      </w:r>
      <w:r w:rsidRPr="00121B22">
        <w:t xml:space="preserve"> </w:t>
      </w:r>
      <w:hyperlink r:id="rId15" w:history="1">
        <w:r w:rsidRPr="00200311">
          <w:rPr>
            <w:rStyle w:val="Hyperlink"/>
            <w:rFonts w:ascii="Arial" w:hAnsi="Arial" w:cs="Arial"/>
            <w:sz w:val="20"/>
            <w:szCs w:val="20"/>
          </w:rPr>
          <w:t>https://www.rbi.org.in/scripts/NotificationUser.aspx?Id=12356&amp;Mode=0</w:t>
        </w:r>
      </w:hyperlink>
    </w:p>
    <w:p w:rsidR="00213882" w:rsidRDefault="00213882" w:rsidP="00213882">
      <w:pPr>
        <w:spacing w:after="0"/>
        <w:jc w:val="both"/>
        <w:rPr>
          <w:rFonts w:ascii="Arial" w:hAnsi="Arial" w:cs="Arial"/>
          <w:sz w:val="20"/>
          <w:szCs w:val="20"/>
        </w:rPr>
      </w:pPr>
    </w:p>
    <w:p w:rsidR="00213882" w:rsidRDefault="00213882" w:rsidP="00213882">
      <w:pPr>
        <w:spacing w:after="0"/>
        <w:jc w:val="both"/>
        <w:rPr>
          <w:rFonts w:ascii="Arial" w:hAnsi="Arial" w:cs="Arial"/>
          <w:sz w:val="20"/>
          <w:szCs w:val="20"/>
        </w:rPr>
      </w:pPr>
    </w:p>
    <w:p w:rsidR="00213882" w:rsidRDefault="00213882" w:rsidP="00213882">
      <w:pPr>
        <w:spacing w:after="0"/>
        <w:jc w:val="both"/>
        <w:rPr>
          <w:rFonts w:ascii="Arial" w:hAnsi="Arial" w:cs="Arial"/>
          <w:sz w:val="20"/>
          <w:szCs w:val="20"/>
        </w:rPr>
      </w:pPr>
    </w:p>
    <w:p w:rsidR="00213882" w:rsidRDefault="00213882" w:rsidP="00213882">
      <w:pPr>
        <w:spacing w:after="0"/>
        <w:jc w:val="both"/>
        <w:rPr>
          <w:rFonts w:ascii="Arial" w:hAnsi="Arial" w:cs="Arial"/>
          <w:sz w:val="20"/>
          <w:szCs w:val="20"/>
        </w:rPr>
      </w:pPr>
    </w:p>
    <w:p w:rsidR="00213882" w:rsidRDefault="00213882" w:rsidP="00213882">
      <w:pPr>
        <w:spacing w:line="259" w:lineRule="auto"/>
        <w:rPr>
          <w:rFonts w:ascii="Arial" w:hAnsi="Arial" w:cs="Arial"/>
          <w:b/>
          <w:bCs/>
          <w:color w:val="000000"/>
          <w:sz w:val="20"/>
          <w:szCs w:val="20"/>
        </w:rPr>
      </w:pPr>
      <w:r>
        <w:br w:type="page"/>
      </w:r>
      <w:r>
        <w:rPr>
          <w:rFonts w:ascii="Arial" w:hAnsi="Arial" w:cs="Arial"/>
          <w:b/>
          <w:bCs/>
          <w:color w:val="000000"/>
          <w:sz w:val="20"/>
          <w:szCs w:val="20"/>
        </w:rPr>
        <w:lastRenderedPageBreak/>
        <w:t>Board approved Loan Policy – Management of Advances – UCBs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RBI/2022-23/93</w:t>
      </w:r>
      <w:r>
        <w:rPr>
          <w:rFonts w:ascii="Arial" w:hAnsi="Arial" w:cs="Arial"/>
          <w:color w:val="000000"/>
          <w:sz w:val="20"/>
          <w:szCs w:val="20"/>
        </w:rPr>
        <w:br/>
        <w:t>DOR.CRE.REC.56/13.05.000/2022-23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July 26, 2022</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Madam / Dear Sir,</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Please refer to para 1 of the </w:t>
      </w:r>
      <w:hyperlink r:id="rId16" w:tgtFrame="_blank" w:history="1">
        <w:r>
          <w:rPr>
            <w:rStyle w:val="Hyperlink"/>
            <w:rFonts w:ascii="Arial" w:hAnsi="Arial" w:cs="Arial"/>
            <w:sz w:val="20"/>
            <w:szCs w:val="20"/>
          </w:rPr>
          <w:t>Master Circular DOR.CRE.REC.No.17/13.05.000/2022-23 dated April 8, 2022</w:t>
        </w:r>
      </w:hyperlink>
      <w:r>
        <w:rPr>
          <w:rFonts w:ascii="Arial" w:hAnsi="Arial" w:cs="Arial"/>
          <w:color w:val="000000"/>
          <w:sz w:val="20"/>
          <w:szCs w:val="20"/>
        </w:rPr>
        <w:t> on Management of Advances – UCBs in terms of which, UCBs are required to lay down, with the approval of their boards, transparent policies and guidelines for credit dispensation, in respect of each broad category of economic activity, keeping in view the credit exposure norms and various other guidelines issued by Reserve Bank from time to time.</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2. It has been observed in several UCBs that these policies not only lack comprehensive coverage, but also do not require a periodic review. In order to ensure that the loan policy reflects approved internal risk appetite and remains in alignment with the extant regulations, it is advised that the loan policy of the bank shall be reviewed by the Board at least once in a financial year.</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3. The above instructions will come into effect immediately.</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735218">
          <w:rPr>
            <w:rStyle w:val="Hyperlink"/>
            <w:rFonts w:ascii="Arial" w:hAnsi="Arial" w:cs="Arial"/>
            <w:bCs/>
            <w:sz w:val="20"/>
            <w:szCs w:val="20"/>
          </w:rPr>
          <w:t>https://www.rbi.org.in/scripts/NotificationUser.aspx?Id=12361&amp;Mode=0</w:t>
        </w:r>
      </w:hyperlink>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Pr="00583041" w:rsidRDefault="00213882" w:rsidP="00213882">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Reserve Bank of India</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Foreign Exchange Department</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Central Office</w:t>
      </w: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Mumbai</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Notification No. FEMA.3(R)(3)/2022-RB</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right"/>
        <w:rPr>
          <w:rFonts w:ascii="Arial" w:hAnsi="Arial" w:cs="Arial"/>
          <w:sz w:val="20"/>
          <w:szCs w:val="20"/>
        </w:rPr>
      </w:pPr>
      <w:r w:rsidRPr="00583041">
        <w:rPr>
          <w:rFonts w:ascii="Arial" w:hAnsi="Arial" w:cs="Arial"/>
          <w:sz w:val="20"/>
          <w:szCs w:val="20"/>
        </w:rPr>
        <w:t>July 28,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1. Short Title &amp; Commencement:</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 These Regulations may be called the Foreign Exchange Management (Borrowing and Lending) (Third Amendment) Regulations,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2. Amendment to Paragraph 2 of Schedule 1:</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213882" w:rsidRPr="00583041" w:rsidRDefault="00213882" w:rsidP="00213882">
      <w:pPr>
        <w:spacing w:after="0"/>
        <w:jc w:val="both"/>
        <w:rPr>
          <w:rFonts w:ascii="Arial" w:hAnsi="Arial" w:cs="Arial"/>
          <w:sz w:val="20"/>
          <w:szCs w:val="20"/>
        </w:rPr>
      </w:pPr>
    </w:p>
    <w:p w:rsidR="00213882" w:rsidRPr="00583041" w:rsidRDefault="00213882" w:rsidP="00213882">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213882" w:rsidRDefault="00213882" w:rsidP="00213882">
      <w:pPr>
        <w:spacing w:after="0"/>
        <w:jc w:val="both"/>
        <w:rPr>
          <w:rFonts w:ascii="Arial" w:hAnsi="Arial" w:cs="Arial"/>
          <w:sz w:val="20"/>
          <w:szCs w:val="20"/>
        </w:rPr>
      </w:pPr>
      <w:r w:rsidRPr="00583041">
        <w:rPr>
          <w:rFonts w:ascii="Arial" w:hAnsi="Arial" w:cs="Arial"/>
          <w:sz w:val="20"/>
          <w:szCs w:val="20"/>
        </w:rPr>
        <w:t>Chief General Manager-in-charge</w:t>
      </w:r>
    </w:p>
    <w:p w:rsidR="00213882" w:rsidRDefault="00213882" w:rsidP="00213882"/>
    <w:p w:rsidR="00213882" w:rsidRDefault="00213882" w:rsidP="00213882"/>
    <w:p w:rsidR="00213882" w:rsidRDefault="00213882" w:rsidP="00213882">
      <w:r>
        <w:t>More details can be referred to in the below link.</w:t>
      </w:r>
    </w:p>
    <w:p w:rsidR="00213882" w:rsidRDefault="00213882" w:rsidP="00213882">
      <w:pPr>
        <w:rPr>
          <w:rFonts w:ascii="Arial" w:hAnsi="Arial" w:cs="Arial"/>
          <w:sz w:val="20"/>
          <w:szCs w:val="20"/>
        </w:rPr>
      </w:pPr>
      <w:r>
        <w:rPr>
          <w:rFonts w:ascii="Arial" w:hAnsi="Arial" w:cs="Arial"/>
          <w:sz w:val="20"/>
          <w:szCs w:val="20"/>
        </w:rPr>
        <w:t xml:space="preserve">Reference Link: </w:t>
      </w:r>
      <w:hyperlink r:id="rId18"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0E3C4F" w:rsidRDefault="000E3C4F" w:rsidP="000E3C4F">
      <w:pPr>
        <w:spacing w:line="259" w:lineRule="auto"/>
        <w:rPr>
          <w:rFonts w:ascii="Arial" w:hAnsi="Arial" w:cs="Arial"/>
          <w:sz w:val="20"/>
          <w:szCs w:val="20"/>
        </w:rPr>
      </w:pPr>
    </w:p>
    <w:p w:rsidR="000E3C4F" w:rsidRDefault="000E3C4F" w:rsidP="000E3C4F">
      <w:pPr>
        <w:spacing w:line="259" w:lineRule="auto"/>
        <w:rPr>
          <w:rFonts w:ascii="Arial" w:hAnsi="Arial" w:cs="Arial"/>
          <w:sz w:val="20"/>
          <w:szCs w:val="20"/>
        </w:rPr>
      </w:pPr>
      <w:r>
        <w:rPr>
          <w:rFonts w:ascii="Arial" w:hAnsi="Arial" w:cs="Arial"/>
          <w:b/>
          <w:bCs/>
          <w:color w:val="000000"/>
          <w:sz w:val="20"/>
          <w:szCs w:val="20"/>
        </w:rPr>
        <w:t>Master Circular - Credit facilities to Scheduled Castes (SCs) &amp; Scheduled Tribes (STs)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0E3C4F" w:rsidRDefault="000E3C4F" w:rsidP="000E3C4F">
      <w:pPr>
        <w:pStyle w:val="NormalWeb"/>
        <w:jc w:val="right"/>
        <w:rPr>
          <w:rFonts w:ascii="Arial" w:hAnsi="Arial" w:cs="Arial"/>
          <w:color w:val="000000"/>
          <w:sz w:val="20"/>
          <w:szCs w:val="20"/>
        </w:rPr>
      </w:pPr>
      <w:r>
        <w:rPr>
          <w:rFonts w:ascii="Arial" w:hAnsi="Arial" w:cs="Arial"/>
          <w:color w:val="000000"/>
          <w:sz w:val="20"/>
          <w:szCs w:val="20"/>
        </w:rPr>
        <w:t>August 1, 2022</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Madam/ Dear Sir,</w:t>
      </w:r>
    </w:p>
    <w:p w:rsidR="000E3C4F" w:rsidRDefault="000E3C4F" w:rsidP="000E3C4F">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19"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below points.</w:t>
      </w:r>
    </w:p>
    <w:p w:rsidR="000E3C4F" w:rsidRPr="00556D17" w:rsidRDefault="000E3C4F" w:rsidP="000E3C4F">
      <w:pPr>
        <w:pStyle w:val="NormalWeb"/>
        <w:rPr>
          <w:rFonts w:ascii="Arial" w:hAnsi="Arial" w:cs="Arial"/>
          <w:color w:val="000000"/>
          <w:sz w:val="20"/>
          <w:szCs w:val="20"/>
        </w:rPr>
      </w:pPr>
      <w:r w:rsidRPr="00556D17">
        <w:rPr>
          <w:rFonts w:ascii="Arial" w:hAnsi="Arial" w:cs="Arial"/>
          <w:bCs/>
          <w:color w:val="000000"/>
          <w:sz w:val="20"/>
          <w:szCs w:val="20"/>
        </w:rPr>
        <w:t>1. Planning Process</w:t>
      </w:r>
    </w:p>
    <w:p w:rsidR="000E3C4F" w:rsidRPr="00556D17" w:rsidRDefault="000E3C4F" w:rsidP="000E3C4F">
      <w:pPr>
        <w:pStyle w:val="NormalWeb"/>
        <w:rPr>
          <w:rFonts w:ascii="Arial" w:hAnsi="Arial" w:cs="Arial"/>
          <w:bCs/>
          <w:color w:val="000000"/>
          <w:sz w:val="20"/>
          <w:szCs w:val="20"/>
        </w:rPr>
      </w:pPr>
      <w:r w:rsidRPr="00556D17">
        <w:rPr>
          <w:rFonts w:ascii="Arial" w:hAnsi="Arial" w:cs="Arial"/>
          <w:bCs/>
          <w:color w:val="000000"/>
          <w:sz w:val="20"/>
          <w:szCs w:val="20"/>
        </w:rPr>
        <w:t>2. Role of Banks</w:t>
      </w:r>
    </w:p>
    <w:p w:rsidR="000E3C4F" w:rsidRPr="00556D17" w:rsidRDefault="000E3C4F" w:rsidP="000E3C4F">
      <w:pPr>
        <w:pStyle w:val="NormalWeb"/>
        <w:rPr>
          <w:rFonts w:ascii="Arial" w:hAnsi="Arial" w:cs="Arial"/>
          <w:bCs/>
          <w:color w:val="000000"/>
          <w:sz w:val="20"/>
          <w:szCs w:val="20"/>
        </w:rPr>
      </w:pPr>
      <w:r w:rsidRPr="00556D17">
        <w:rPr>
          <w:rFonts w:ascii="Arial" w:hAnsi="Arial" w:cs="Arial"/>
          <w:bCs/>
          <w:color w:val="000000"/>
          <w:sz w:val="20"/>
          <w:szCs w:val="20"/>
        </w:rPr>
        <w:t>3. Role of SC/ST Development Corporations</w:t>
      </w:r>
    </w:p>
    <w:p w:rsidR="000E3C4F" w:rsidRPr="00556D17" w:rsidRDefault="000E3C4F" w:rsidP="000E3C4F">
      <w:pPr>
        <w:pStyle w:val="NormalWeb"/>
        <w:rPr>
          <w:rFonts w:ascii="Arial" w:hAnsi="Arial" w:cs="Arial"/>
          <w:bCs/>
          <w:color w:val="000000"/>
          <w:sz w:val="20"/>
          <w:szCs w:val="20"/>
        </w:rPr>
      </w:pPr>
      <w:r w:rsidRPr="00556D17">
        <w:rPr>
          <w:rFonts w:ascii="Arial" w:hAnsi="Arial" w:cs="Arial"/>
          <w:bCs/>
          <w:color w:val="000000"/>
          <w:sz w:val="20"/>
          <w:szCs w:val="20"/>
        </w:rPr>
        <w:t>4. Reservations for SC/ST beneficiaries under major Centrally Sponsored Schemes.</w:t>
      </w:r>
    </w:p>
    <w:p w:rsidR="000E3C4F" w:rsidRPr="00556D17" w:rsidRDefault="000E3C4F" w:rsidP="000E3C4F">
      <w:pPr>
        <w:pStyle w:val="NormalWeb"/>
        <w:rPr>
          <w:rFonts w:ascii="Arial" w:hAnsi="Arial" w:cs="Arial"/>
          <w:bCs/>
          <w:color w:val="000000"/>
          <w:sz w:val="20"/>
          <w:szCs w:val="20"/>
        </w:rPr>
      </w:pPr>
      <w:r w:rsidRPr="00556D17">
        <w:rPr>
          <w:rFonts w:ascii="Arial" w:hAnsi="Arial" w:cs="Arial"/>
          <w:bCs/>
          <w:color w:val="000000"/>
          <w:sz w:val="20"/>
          <w:szCs w:val="20"/>
        </w:rPr>
        <w:t>5. Credit Enhancement Guarantee Scheme for Scheduled Castes (CEGSSC)</w:t>
      </w:r>
    </w:p>
    <w:p w:rsidR="000E3C4F" w:rsidRPr="00556D17" w:rsidRDefault="000E3C4F" w:rsidP="000E3C4F">
      <w:pPr>
        <w:pStyle w:val="NormalWeb"/>
        <w:rPr>
          <w:rFonts w:ascii="Arial" w:hAnsi="Arial" w:cs="Arial"/>
          <w:bCs/>
          <w:color w:val="000000"/>
          <w:sz w:val="20"/>
          <w:szCs w:val="20"/>
        </w:rPr>
      </w:pPr>
      <w:r w:rsidRPr="00556D17">
        <w:rPr>
          <w:rFonts w:ascii="Arial" w:hAnsi="Arial" w:cs="Arial"/>
          <w:bCs/>
          <w:color w:val="000000"/>
          <w:sz w:val="20"/>
          <w:szCs w:val="20"/>
        </w:rPr>
        <w:t>6. Monitoring and Review</w:t>
      </w:r>
    </w:p>
    <w:p w:rsidR="000E3C4F" w:rsidRPr="00556D17" w:rsidRDefault="000E3C4F" w:rsidP="000E3C4F">
      <w:pPr>
        <w:pStyle w:val="NormalWeb"/>
        <w:rPr>
          <w:rFonts w:ascii="Arial" w:hAnsi="Arial" w:cs="Arial"/>
          <w:color w:val="000000"/>
          <w:sz w:val="20"/>
          <w:szCs w:val="20"/>
        </w:rPr>
      </w:pPr>
      <w:r w:rsidRPr="00556D17">
        <w:rPr>
          <w:rFonts w:ascii="Arial" w:hAnsi="Arial" w:cs="Arial"/>
          <w:bCs/>
          <w:color w:val="000000"/>
          <w:sz w:val="20"/>
          <w:szCs w:val="20"/>
        </w:rPr>
        <w:t>7. Reporting Requirements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Yours faithfully,</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0E3C4F" w:rsidRDefault="000E3C4F" w:rsidP="000E3C4F">
      <w:pPr>
        <w:spacing w:line="259" w:lineRule="auto"/>
        <w:rPr>
          <w:rFonts w:ascii="Arial" w:hAnsi="Arial" w:cs="Arial"/>
          <w:sz w:val="20"/>
          <w:szCs w:val="20"/>
        </w:rPr>
      </w:pPr>
    </w:p>
    <w:p w:rsidR="000E3C4F" w:rsidRDefault="000E3C4F" w:rsidP="000E3C4F">
      <w:pPr>
        <w:spacing w:line="259" w:lineRule="auto"/>
        <w:rPr>
          <w:rFonts w:ascii="Arial" w:hAnsi="Arial" w:cs="Arial"/>
          <w:sz w:val="20"/>
          <w:szCs w:val="20"/>
        </w:rPr>
      </w:pPr>
    </w:p>
    <w:p w:rsidR="000E3C4F" w:rsidRDefault="000E3C4F" w:rsidP="000E3C4F">
      <w:pPr>
        <w:spacing w:line="259" w:lineRule="auto"/>
        <w:rPr>
          <w:rFonts w:ascii="Arial" w:hAnsi="Arial" w:cs="Arial"/>
          <w:sz w:val="20"/>
          <w:szCs w:val="20"/>
        </w:rPr>
      </w:pPr>
    </w:p>
    <w:p w:rsidR="000E3C4F" w:rsidRDefault="000E3C4F" w:rsidP="000E3C4F">
      <w:r>
        <w:t>More details can be referred to in the below link.</w:t>
      </w:r>
    </w:p>
    <w:p w:rsidR="000E3C4F" w:rsidRDefault="000E3C4F" w:rsidP="000E3C4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6865D6">
          <w:rPr>
            <w:rStyle w:val="Hyperlink"/>
            <w:rFonts w:ascii="Arial" w:hAnsi="Arial" w:cs="Arial"/>
            <w:bCs/>
            <w:sz w:val="20"/>
            <w:szCs w:val="20"/>
          </w:rPr>
          <w:t>https://www.rbi.org.in/scripts/NotificationUser.aspx?Id=12365&amp;Mode=0</w:t>
        </w:r>
      </w:hyperlink>
    </w:p>
    <w:p w:rsidR="000E3C4F" w:rsidRDefault="000E3C4F" w:rsidP="000E3C4F">
      <w:pPr>
        <w:spacing w:line="259" w:lineRule="auto"/>
        <w:rPr>
          <w:rFonts w:ascii="Arial" w:hAnsi="Arial" w:cs="Arial"/>
          <w:bCs/>
          <w:color w:val="000000"/>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Pr="00583041" w:rsidRDefault="00213882" w:rsidP="00213882">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213882" w:rsidRPr="00583041" w:rsidTr="00B67A08">
        <w:trPr>
          <w:jc w:val="center"/>
        </w:trPr>
        <w:tc>
          <w:tcPr>
            <w:tcW w:w="0" w:type="auto"/>
            <w:tcBorders>
              <w:top w:val="nil"/>
              <w:left w:val="nil"/>
              <w:bottom w:val="nil"/>
              <w:right w:val="nil"/>
            </w:tcBorders>
            <w:tcMar>
              <w:top w:w="15" w:type="dxa"/>
              <w:left w:w="45" w:type="dxa"/>
              <w:bottom w:w="15" w:type="dxa"/>
              <w:right w:w="45" w:type="dxa"/>
            </w:tcMar>
            <w:vAlign w:val="center"/>
            <w:hideMark/>
          </w:tcPr>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213882" w:rsidRPr="00583041" w:rsidRDefault="00213882" w:rsidP="00B67A08">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213882" w:rsidRPr="00583041"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213882" w:rsidRPr="00583041"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213882" w:rsidRPr="00CE14AF" w:rsidRDefault="00213882" w:rsidP="00B67A08">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213882" w:rsidRPr="00583041" w:rsidRDefault="00213882" w:rsidP="00B67A08">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21"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22"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i) increase the automatic route limit from USD 750 million or equivalent to USD 1.5 billion or equivalent.</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23"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213882" w:rsidRPr="00583041" w:rsidRDefault="00213882" w:rsidP="00B67A08">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213882" w:rsidRPr="00583041" w:rsidRDefault="00213882" w:rsidP="00B67A08">
            <w:pPr>
              <w:pStyle w:val="NormalWeb"/>
              <w:spacing w:after="0" w:afterAutospacing="0"/>
              <w:rPr>
                <w:rFonts w:ascii="Arial" w:hAnsi="Arial" w:cs="Arial"/>
                <w:sz w:val="20"/>
                <w:szCs w:val="20"/>
              </w:rPr>
            </w:pPr>
            <w:r w:rsidRPr="00583041">
              <w:rPr>
                <w:rFonts w:ascii="Arial" w:hAnsi="Arial" w:cs="Arial"/>
                <w:sz w:val="20"/>
                <w:szCs w:val="20"/>
              </w:rPr>
              <w:t>Yours faithfully,</w:t>
            </w:r>
          </w:p>
          <w:p w:rsidR="00213882" w:rsidRPr="00583041" w:rsidRDefault="00213882" w:rsidP="00B67A08">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213882" w:rsidRDefault="00213882" w:rsidP="00213882"/>
    <w:p w:rsidR="00213882" w:rsidRDefault="00213882" w:rsidP="00213882">
      <w:pPr>
        <w:spacing w:after="0"/>
      </w:pPr>
      <w:r>
        <w:t>More details can be referred to in the below link.</w:t>
      </w:r>
    </w:p>
    <w:p w:rsidR="00213882" w:rsidRDefault="00213882" w:rsidP="00213882">
      <w:pPr>
        <w:rPr>
          <w:rFonts w:ascii="Arial" w:hAnsi="Arial" w:cs="Arial"/>
          <w:sz w:val="20"/>
          <w:szCs w:val="20"/>
        </w:rPr>
      </w:pPr>
      <w:r>
        <w:rPr>
          <w:rFonts w:ascii="Arial" w:hAnsi="Arial" w:cs="Arial"/>
          <w:sz w:val="20"/>
          <w:szCs w:val="20"/>
        </w:rPr>
        <w:t xml:space="preserve">Reference Link: </w:t>
      </w:r>
      <w:hyperlink r:id="rId24" w:history="1">
        <w:r w:rsidRPr="00200311">
          <w:rPr>
            <w:rStyle w:val="Hyperlink"/>
            <w:rFonts w:ascii="Arial" w:hAnsi="Arial" w:cs="Arial"/>
            <w:sz w:val="20"/>
            <w:szCs w:val="20"/>
          </w:rPr>
          <w:t>https://www.rbi.org.in/Scripts/NotificationUser.aspx?Id=12366&amp;Mode=0</w:t>
        </w:r>
      </w:hyperlink>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0E3C4F" w:rsidRDefault="000E3C4F" w:rsidP="000E3C4F">
      <w:pPr>
        <w:spacing w:line="259" w:lineRule="auto"/>
        <w:rPr>
          <w:rFonts w:ascii="Arial" w:hAnsi="Arial" w:cs="Arial"/>
          <w:sz w:val="20"/>
          <w:szCs w:val="20"/>
        </w:rPr>
      </w:pPr>
    </w:p>
    <w:p w:rsidR="000E3C4F" w:rsidRDefault="000E3C4F" w:rsidP="000E3C4F">
      <w:pPr>
        <w:pStyle w:val="NormalWeb"/>
        <w:rPr>
          <w:rFonts w:ascii="Arial" w:hAnsi="Arial" w:cs="Arial"/>
          <w:color w:val="000000"/>
          <w:sz w:val="20"/>
          <w:szCs w:val="20"/>
        </w:rPr>
      </w:pPr>
      <w:r>
        <w:rPr>
          <w:rFonts w:ascii="Arial" w:hAnsi="Arial" w:cs="Arial"/>
          <w:b/>
          <w:bCs/>
          <w:color w:val="000000"/>
          <w:sz w:val="20"/>
          <w:szCs w:val="20"/>
        </w:rPr>
        <w:t>Master Circular on Credit Facilities to Minority Communities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0E3C4F" w:rsidRDefault="000E3C4F" w:rsidP="000E3C4F">
      <w:pPr>
        <w:pStyle w:val="NormalWeb"/>
        <w:jc w:val="right"/>
        <w:rPr>
          <w:rFonts w:ascii="Arial" w:hAnsi="Arial" w:cs="Arial"/>
          <w:color w:val="000000"/>
          <w:sz w:val="20"/>
          <w:szCs w:val="20"/>
        </w:rPr>
      </w:pPr>
      <w:r>
        <w:rPr>
          <w:rFonts w:ascii="Arial" w:hAnsi="Arial" w:cs="Arial"/>
          <w:color w:val="000000"/>
          <w:sz w:val="20"/>
          <w:szCs w:val="20"/>
        </w:rPr>
        <w:t>August 2, 2022</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Madam/ Dear Sir,</w:t>
      </w:r>
    </w:p>
    <w:p w:rsidR="000E3C4F" w:rsidRDefault="000E3C4F" w:rsidP="000E3C4F">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0E3C4F" w:rsidRPr="00184108" w:rsidRDefault="000E3C4F" w:rsidP="000E3C4F">
      <w:pPr>
        <w:pStyle w:val="NoSpacing"/>
      </w:pPr>
      <w:r>
        <w:t>The Reserve Bank of India has periodically issued guidelines/instructions/directives to banks with regard to providing credit facilities to Minority Communities. The </w:t>
      </w:r>
      <w:hyperlink r:id="rId25" w:anchor="MC" w:history="1">
        <w:r>
          <w:rPr>
            <w:rStyle w:val="Hyperlink"/>
            <w:rFonts w:ascii="Arial" w:hAnsi="Arial" w:cs="Arial"/>
            <w:sz w:val="20"/>
            <w:szCs w:val="20"/>
          </w:rPr>
          <w:t>Master Circular</w:t>
        </w:r>
      </w:hyperlink>
      <w:r>
        <w:t> consolidates the circulars issued by Reserve Bank on the subject till date, on the below points:</w:t>
      </w:r>
    </w:p>
    <w:p w:rsidR="000E3C4F" w:rsidRDefault="000E3C4F" w:rsidP="000E3C4F">
      <w:pPr>
        <w:pStyle w:val="NoSpacing"/>
        <w:rPr>
          <w:bCs/>
        </w:rPr>
      </w:pPr>
    </w:p>
    <w:p w:rsidR="000E3C4F" w:rsidRPr="00184108" w:rsidRDefault="000E3C4F" w:rsidP="000E3C4F">
      <w:pPr>
        <w:pStyle w:val="NoSpacing"/>
      </w:pPr>
      <w:r w:rsidRPr="00184108">
        <w:rPr>
          <w:bCs/>
        </w:rPr>
        <w:t>1. Credit Facilities to Minority Communities</w:t>
      </w:r>
    </w:p>
    <w:p w:rsidR="000E3C4F" w:rsidRPr="00184108" w:rsidRDefault="000E3C4F" w:rsidP="000E3C4F">
      <w:pPr>
        <w:pStyle w:val="NoSpacing"/>
      </w:pPr>
      <w:r w:rsidRPr="00184108">
        <w:rPr>
          <w:bCs/>
        </w:rPr>
        <w:t>2. Definition of Minority Communities</w:t>
      </w:r>
    </w:p>
    <w:p w:rsidR="000E3C4F" w:rsidRPr="00184108" w:rsidRDefault="000E3C4F" w:rsidP="000E3C4F">
      <w:pPr>
        <w:pStyle w:val="NoSpacing"/>
      </w:pPr>
      <w:r w:rsidRPr="00184108">
        <w:rPr>
          <w:bCs/>
        </w:rPr>
        <w:t>3. Creation of Special Cell and designating an exclusive Officer</w:t>
      </w:r>
    </w:p>
    <w:p w:rsidR="000E3C4F" w:rsidRPr="00184108" w:rsidRDefault="000E3C4F" w:rsidP="000E3C4F">
      <w:pPr>
        <w:pStyle w:val="NoSpacing"/>
        <w:rPr>
          <w:bCs/>
        </w:rPr>
      </w:pPr>
      <w:r w:rsidRPr="00184108">
        <w:rPr>
          <w:bCs/>
        </w:rPr>
        <w:t>4. Role of Lead Banks</w:t>
      </w:r>
    </w:p>
    <w:p w:rsidR="000E3C4F" w:rsidRPr="00184108" w:rsidRDefault="000E3C4F" w:rsidP="000E3C4F">
      <w:pPr>
        <w:pStyle w:val="NoSpacing"/>
      </w:pPr>
      <w:r w:rsidRPr="00184108">
        <w:rPr>
          <w:bCs/>
        </w:rPr>
        <w:t>5. Advances under DRI Scheme</w:t>
      </w:r>
    </w:p>
    <w:p w:rsidR="000E3C4F" w:rsidRPr="00184108" w:rsidRDefault="000E3C4F" w:rsidP="000E3C4F">
      <w:pPr>
        <w:pStyle w:val="NoSpacing"/>
      </w:pPr>
      <w:r w:rsidRPr="00184108">
        <w:rPr>
          <w:bCs/>
        </w:rPr>
        <w:t>6. Monitoring</w:t>
      </w:r>
    </w:p>
    <w:p w:rsidR="000E3C4F" w:rsidRPr="00184108" w:rsidRDefault="000E3C4F" w:rsidP="000E3C4F">
      <w:pPr>
        <w:pStyle w:val="NoSpacing"/>
      </w:pPr>
      <w:r w:rsidRPr="00184108">
        <w:rPr>
          <w:bCs/>
        </w:rPr>
        <w:t>7. Training</w:t>
      </w:r>
    </w:p>
    <w:p w:rsidR="000E3C4F" w:rsidRPr="00184108" w:rsidRDefault="000E3C4F" w:rsidP="000E3C4F">
      <w:pPr>
        <w:pStyle w:val="NoSpacing"/>
        <w:rPr>
          <w:bCs/>
        </w:rPr>
      </w:pPr>
      <w:r w:rsidRPr="00184108">
        <w:rPr>
          <w:bCs/>
        </w:rPr>
        <w:t>8 Publicity</w:t>
      </w:r>
    </w:p>
    <w:p w:rsidR="000E3C4F" w:rsidRPr="00184108" w:rsidRDefault="000E3C4F" w:rsidP="000E3C4F">
      <w:pPr>
        <w:pStyle w:val="NoSpacing"/>
      </w:pPr>
      <w:r w:rsidRPr="00184108">
        <w:rPr>
          <w:bCs/>
        </w:rPr>
        <w:t>9. National Minorities Development and Finance Corporation (NMDFC)</w:t>
      </w:r>
    </w:p>
    <w:p w:rsidR="000E3C4F" w:rsidRPr="00184108" w:rsidRDefault="000E3C4F" w:rsidP="000E3C4F">
      <w:pPr>
        <w:pStyle w:val="NoSpacing"/>
      </w:pPr>
      <w:r w:rsidRPr="00184108">
        <w:rPr>
          <w:bCs/>
        </w:rPr>
        <w:t>10. Prime Minister’s New 15 Point Programme for the Welfare of Minorities</w:t>
      </w:r>
    </w:p>
    <w:p w:rsidR="000E3C4F" w:rsidRDefault="000E3C4F" w:rsidP="000E3C4F">
      <w:pPr>
        <w:pStyle w:val="NormalWeb"/>
        <w:rPr>
          <w:rFonts w:ascii="Arial" w:hAnsi="Arial" w:cs="Arial"/>
          <w:color w:val="000000"/>
          <w:sz w:val="20"/>
          <w:szCs w:val="20"/>
        </w:rPr>
      </w:pP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Yours faithfully,</w:t>
      </w:r>
    </w:p>
    <w:p w:rsidR="000E3C4F" w:rsidRDefault="000E3C4F" w:rsidP="000E3C4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0E3C4F" w:rsidRDefault="000E3C4F" w:rsidP="000E3C4F">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RBI/2022-23/107</w:t>
      </w:r>
      <w:r>
        <w:rPr>
          <w:rFonts w:ascii="Arial" w:hAnsi="Arial" w:cs="Arial"/>
          <w:color w:val="000000"/>
          <w:sz w:val="20"/>
          <w:szCs w:val="20"/>
        </w:rPr>
        <w:br/>
        <w:t>DOR.MRG.REC.64/00-00-005/2022-23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August 11, 2022</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Dear Sir / Madam,</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6" w:tgtFrame="_blank" w:history="1">
        <w:r>
          <w:rPr>
            <w:rStyle w:val="Hyperlink"/>
            <w:rFonts w:ascii="Arial" w:hAnsi="Arial" w:cs="Arial"/>
            <w:sz w:val="20"/>
            <w:szCs w:val="20"/>
          </w:rPr>
          <w:t>circular DOR.CAP.51/21.06.201/2020-21 dated March 30, 2021</w:t>
        </w:r>
      </w:hyperlink>
      <w:r>
        <w:rPr>
          <w:rFonts w:ascii="Arial" w:hAnsi="Arial" w:cs="Arial"/>
          <w:color w:val="000000"/>
          <w:sz w:val="20"/>
          <w:szCs w:val="20"/>
        </w:rPr>
        <w:t> and </w:t>
      </w:r>
      <w:hyperlink r:id="rId27" w:tgtFrame="_blank" w:history="1">
        <w:r>
          <w:rPr>
            <w:rStyle w:val="Hyperlink"/>
            <w:rFonts w:ascii="Arial" w:hAnsi="Arial" w:cs="Arial"/>
            <w:sz w:val="20"/>
            <w:szCs w:val="20"/>
          </w:rPr>
          <w:t>circular DOR.CAP.REC.No.97/21.06.201/2021-22 dated March 31, 2022</w:t>
        </w:r>
      </w:hyperlink>
      <w:r>
        <w:rPr>
          <w:rFonts w:ascii="Arial" w:hAnsi="Arial" w:cs="Arial"/>
          <w:color w:val="000000"/>
          <w:sz w:val="20"/>
          <w:szCs w:val="20"/>
        </w:rPr>
        <w:t> on the captioned subject.</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2. At present, while computing capital requirements for counterparty credit risk, the following exposures, wherever allowed to be undertaken, are exempted or capped:</w:t>
      </w:r>
    </w:p>
    <w:p w:rsidR="00213882" w:rsidRDefault="00213882" w:rsidP="00213882">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foreign exchange (except gold) contracts which have an original maturity of 14 calendar days or less are excluded from capital requirements for counterparty credit risk.</w:t>
      </w:r>
    </w:p>
    <w:p w:rsidR="00213882" w:rsidRDefault="00213882" w:rsidP="00213882">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are excluded from capital requirements for counterparty credit risk.</w:t>
      </w:r>
    </w:p>
    <w:p w:rsidR="00213882" w:rsidRDefault="00213882" w:rsidP="00213882">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For Credit Default Swap transaction where bank is protection seller, the exposure is capped at the amount of premium unpaid by the protection buyer.</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3. We have received queries from regulated entities (REs) regarding the applicability of the above exemptions / caps under the Bilateral Netting framework. In this connection, it is clarified that:</w:t>
      </w:r>
    </w:p>
    <w:p w:rsidR="00213882" w:rsidRDefault="00213882" w:rsidP="00213882">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the exemption for foreign exchange (except gold) contracts which have an original maturity of 14 calendar days or less shall be applicable to entities calculating the counterparty credit risk under Original Exposure Method without taking the benefit of bilateral netting. Accordingly, the exemption would be applicable only to Regional Rural Banks, Local Area Banks and Co-operative Banks, where the bank has not adopted the bilateral netting framework. For other entities, the exemption shall stand withdrawn.</w:t>
      </w:r>
    </w:p>
    <w:p w:rsidR="00213882" w:rsidRDefault="00213882" w:rsidP="00213882">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can be excluded only when such ‘sold options’ are outside the netting and margin agreements.</w:t>
      </w:r>
    </w:p>
    <w:p w:rsidR="00213882" w:rsidRDefault="00213882" w:rsidP="00213882">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For Credit Default Swaps where the bank is the protection seller and that are outside netting and margin agreements, the exposure may be capped to the amount of premium unpaid. Banks have the option to remove such credit derivatives from their legal netting sets in order to apply the cap.</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735218">
          <w:rPr>
            <w:rStyle w:val="Hyperlink"/>
            <w:rFonts w:ascii="Arial" w:hAnsi="Arial" w:cs="Arial"/>
            <w:bCs/>
            <w:sz w:val="20"/>
            <w:szCs w:val="20"/>
          </w:rPr>
          <w:t>https://www.rbi.org.in/Scripts/NotificationUser.aspx?Id=12376&amp;Mode=0</w:t>
        </w:r>
      </w:hyperlink>
    </w:p>
    <w:p w:rsidR="00213882" w:rsidRDefault="00213882" w:rsidP="00213882">
      <w:pPr>
        <w:spacing w:line="259" w:lineRule="auto"/>
        <w:rPr>
          <w:rFonts w:ascii="Arial" w:hAnsi="Arial" w:cs="Arial"/>
          <w:sz w:val="20"/>
          <w:szCs w:val="20"/>
        </w:rPr>
      </w:pPr>
    </w:p>
    <w:p w:rsidR="000E3C4F" w:rsidRDefault="000E3C4F">
      <w:pPr>
        <w:spacing w:line="259" w:lineRule="auto"/>
        <w:rPr>
          <w:rFonts w:ascii="Arial" w:hAnsi="Arial" w:cs="Arial"/>
          <w:sz w:val="20"/>
          <w:szCs w:val="20"/>
        </w:rPr>
      </w:pPr>
      <w:r>
        <w:rPr>
          <w:rFonts w:ascii="Arial" w:hAnsi="Arial" w:cs="Arial"/>
          <w:sz w:val="20"/>
          <w:szCs w:val="20"/>
        </w:rPr>
        <w:br w:type="page"/>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September 07, 2022</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Dear Sir/Madam,</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29"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213882" w:rsidRDefault="00213882" w:rsidP="00213882">
      <w:pPr>
        <w:pStyle w:val="NormalWeb"/>
        <w:numPr>
          <w:ilvl w:val="0"/>
          <w:numId w:val="36"/>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30"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213882" w:rsidRDefault="00213882" w:rsidP="00213882">
      <w:pPr>
        <w:pStyle w:val="NormalWeb"/>
        <w:numPr>
          <w:ilvl w:val="0"/>
          <w:numId w:val="36"/>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213882" w:rsidRDefault="00213882" w:rsidP="00213882">
      <w:pPr>
        <w:pStyle w:val="NormalWeb"/>
        <w:numPr>
          <w:ilvl w:val="0"/>
          <w:numId w:val="36"/>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B27270">
          <w:rPr>
            <w:rStyle w:val="Hyperlink"/>
            <w:rFonts w:ascii="Arial" w:hAnsi="Arial" w:cs="Arial"/>
            <w:bCs/>
            <w:sz w:val="20"/>
            <w:szCs w:val="20"/>
          </w:rPr>
          <w:t>https://m.rbi.org.in/scripts/FS_Notification.aspx?Id=12384&amp;fn=2&amp;Mode=0</w:t>
        </w:r>
      </w:hyperlink>
    </w:p>
    <w:p w:rsidR="00213882" w:rsidRDefault="00213882" w:rsidP="00213882">
      <w:pPr>
        <w:spacing w:line="259" w:lineRule="auto"/>
        <w:rPr>
          <w:rFonts w:ascii="Arial" w:hAnsi="Arial" w:cs="Arial"/>
          <w:sz w:val="20"/>
          <w:szCs w:val="20"/>
        </w:rPr>
      </w:pPr>
      <w:bookmarkStart w:id="0" w:name="_GoBack"/>
      <w:bookmarkEnd w:id="0"/>
    </w:p>
    <w:p w:rsidR="00213882" w:rsidRDefault="00213882" w:rsidP="00213882">
      <w:pPr>
        <w:spacing w:line="259" w:lineRule="auto"/>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October 10, 2022</w:t>
      </w:r>
    </w:p>
    <w:p w:rsidR="00213882" w:rsidRDefault="00213882" w:rsidP="00230EAC">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Madam/Dear Sir,</w:t>
      </w:r>
    </w:p>
    <w:p w:rsidR="00213882" w:rsidRDefault="00213882" w:rsidP="00213882">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Please refer to paragraph 6.8.1 (i) of </w:t>
      </w:r>
      <w:hyperlink r:id="rId32"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213882" w:rsidRDefault="00213882" w:rsidP="00213882">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213882" w:rsidRDefault="00213882" w:rsidP="00230EA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13882" w:rsidRDefault="00213882" w:rsidP="00230EAC">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30EAC" w:rsidRDefault="00230EAC" w:rsidP="00213882">
      <w:pPr>
        <w:spacing w:line="259" w:lineRule="auto"/>
        <w:rPr>
          <w:rFonts w:ascii="Arial" w:hAnsi="Arial" w:cs="Arial"/>
          <w:sz w:val="20"/>
          <w:szCs w:val="20"/>
        </w:rPr>
      </w:pPr>
    </w:p>
    <w:p w:rsidR="00230EAC" w:rsidRDefault="00230EAC" w:rsidP="00230EAC">
      <w:r>
        <w:t>More details can be referred to in the below link.</w:t>
      </w:r>
    </w:p>
    <w:p w:rsidR="00230EAC" w:rsidRDefault="00230EAC" w:rsidP="00230EAC">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B27270">
          <w:rPr>
            <w:rStyle w:val="Hyperlink"/>
            <w:rFonts w:ascii="Arial" w:hAnsi="Arial" w:cs="Arial"/>
            <w:bCs/>
            <w:sz w:val="20"/>
            <w:szCs w:val="20"/>
          </w:rPr>
          <w:t>https://www.rbi.org.in/Scripts/NotificationUser.aspx?Id=12396&amp;Mode=0</w:t>
        </w:r>
      </w:hyperlink>
    </w:p>
    <w:p w:rsidR="00230EAC" w:rsidRDefault="00230EAC" w:rsidP="00230EAC">
      <w:pPr>
        <w:spacing w:line="259" w:lineRule="auto"/>
        <w:rPr>
          <w:rFonts w:ascii="Arial" w:hAnsi="Arial" w:cs="Arial"/>
          <w:sz w:val="20"/>
          <w:szCs w:val="20"/>
        </w:rPr>
      </w:pPr>
    </w:p>
    <w:p w:rsidR="00230EAC" w:rsidRDefault="00230EAC" w:rsidP="00230EAC">
      <w:pPr>
        <w:spacing w:line="259" w:lineRule="auto"/>
        <w:rPr>
          <w:rFonts w:ascii="Arial" w:hAnsi="Arial" w:cs="Arial"/>
          <w:sz w:val="20"/>
          <w:szCs w:val="20"/>
        </w:rPr>
      </w:pPr>
    </w:p>
    <w:p w:rsidR="00230EAC" w:rsidRDefault="00230EAC" w:rsidP="00230EAC">
      <w:pPr>
        <w:spacing w:line="259" w:lineRule="auto"/>
        <w:rPr>
          <w:rFonts w:ascii="Arial" w:hAnsi="Arial" w:cs="Arial"/>
          <w:sz w:val="20"/>
          <w:szCs w:val="20"/>
        </w:rPr>
      </w:pPr>
    </w:p>
    <w:p w:rsidR="00230EAC" w:rsidRDefault="00230EAC" w:rsidP="00230EAC">
      <w:pPr>
        <w:spacing w:line="259" w:lineRule="auto"/>
        <w:rPr>
          <w:rFonts w:ascii="Arial" w:hAnsi="Arial" w:cs="Arial"/>
          <w:sz w:val="20"/>
          <w:szCs w:val="20"/>
        </w:rPr>
      </w:pPr>
    </w:p>
    <w:p w:rsidR="00230EAC" w:rsidRDefault="00230EAC" w:rsidP="00230EAC">
      <w:pPr>
        <w:spacing w:line="259" w:lineRule="auto"/>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230EAC" w:rsidRDefault="00230EAC" w:rsidP="00230EAC">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230EAC" w:rsidRDefault="00230EAC" w:rsidP="00230EAC">
      <w:pPr>
        <w:pStyle w:val="NormalWeb"/>
        <w:jc w:val="right"/>
        <w:rPr>
          <w:rFonts w:ascii="Arial" w:hAnsi="Arial" w:cs="Arial"/>
          <w:color w:val="000000"/>
          <w:sz w:val="20"/>
          <w:szCs w:val="20"/>
        </w:rPr>
      </w:pPr>
      <w:r>
        <w:rPr>
          <w:rFonts w:ascii="Arial" w:hAnsi="Arial" w:cs="Arial"/>
          <w:color w:val="000000"/>
          <w:sz w:val="20"/>
          <w:szCs w:val="20"/>
        </w:rPr>
        <w:t>October 11, 2022</w:t>
      </w:r>
    </w:p>
    <w:p w:rsidR="00230EAC" w:rsidRDefault="00230EAC" w:rsidP="00230EAC">
      <w:pPr>
        <w:pStyle w:val="NormalWeb"/>
        <w:jc w:val="both"/>
        <w:rPr>
          <w:rFonts w:ascii="Arial" w:hAnsi="Arial" w:cs="Arial"/>
          <w:color w:val="000000"/>
          <w:sz w:val="20"/>
          <w:szCs w:val="20"/>
        </w:rPr>
      </w:pPr>
      <w:r>
        <w:rPr>
          <w:rFonts w:ascii="Arial" w:hAnsi="Arial" w:cs="Arial"/>
          <w:color w:val="000000"/>
          <w:sz w:val="20"/>
          <w:szCs w:val="20"/>
        </w:rPr>
        <w:t>Madam / Dear Sir,</w:t>
      </w:r>
    </w:p>
    <w:p w:rsidR="00230EAC" w:rsidRDefault="00230EAC" w:rsidP="00230EAC">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230EAC" w:rsidRDefault="00230EAC" w:rsidP="00230EAC">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34"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230EAC" w:rsidRDefault="00230EAC" w:rsidP="00230EAC">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230EAC" w:rsidRDefault="00230EAC" w:rsidP="00230EAC">
      <w:pPr>
        <w:pStyle w:val="NormalWeb"/>
        <w:numPr>
          <w:ilvl w:val="0"/>
          <w:numId w:val="37"/>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35"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230EAC" w:rsidRDefault="00230EAC" w:rsidP="00230EAC">
      <w:pPr>
        <w:pStyle w:val="NormalWeb"/>
        <w:numPr>
          <w:ilvl w:val="0"/>
          <w:numId w:val="37"/>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36"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230EAC" w:rsidRDefault="00230EAC" w:rsidP="00230EAC">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230EAC" w:rsidRDefault="00230EAC" w:rsidP="00230EAC">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230EAC" w:rsidTr="00B67A08">
        <w:trPr>
          <w:trHeight w:val="437"/>
          <w:jc w:val="center"/>
        </w:trPr>
        <w:tc>
          <w:tcPr>
            <w:tcW w:w="286" w:type="pct"/>
            <w:tcMar>
              <w:top w:w="0" w:type="dxa"/>
              <w:left w:w="45" w:type="dxa"/>
              <w:bottom w:w="0" w:type="dxa"/>
              <w:right w:w="45" w:type="dxa"/>
            </w:tcMar>
            <w:vAlign w:val="center"/>
            <w:hideMark/>
          </w:tcPr>
          <w:p w:rsidR="00230EAC" w:rsidRDefault="00230EAC" w:rsidP="00B67A08">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230EAC" w:rsidRDefault="00230EAC" w:rsidP="00B67A08">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230EAC" w:rsidRDefault="00230EAC" w:rsidP="00B67A08">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230EAC" w:rsidRDefault="00230EAC" w:rsidP="00B67A08">
            <w:pPr>
              <w:jc w:val="center"/>
              <w:rPr>
                <w:rFonts w:ascii="Arial" w:hAnsi="Arial" w:cs="Arial"/>
                <w:b/>
                <w:bCs/>
                <w:color w:val="000000"/>
                <w:sz w:val="20"/>
                <w:szCs w:val="20"/>
              </w:rPr>
            </w:pPr>
            <w:r>
              <w:rPr>
                <w:rFonts w:ascii="Arial" w:hAnsi="Arial" w:cs="Arial"/>
                <w:b/>
                <w:bCs/>
                <w:color w:val="000000"/>
                <w:sz w:val="20"/>
                <w:szCs w:val="20"/>
              </w:rPr>
              <w:t>UCBs (%)</w:t>
            </w:r>
          </w:p>
        </w:tc>
      </w:tr>
      <w:tr w:rsidR="00230EAC" w:rsidTr="00B67A08">
        <w:trPr>
          <w:trHeight w:val="442"/>
          <w:jc w:val="center"/>
        </w:trPr>
        <w:tc>
          <w:tcPr>
            <w:tcW w:w="286"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230EAC" w:rsidRDefault="00230EAC" w:rsidP="00B67A08">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5</w:t>
            </w:r>
          </w:p>
        </w:tc>
      </w:tr>
      <w:tr w:rsidR="00230EAC" w:rsidTr="00B67A08">
        <w:trPr>
          <w:trHeight w:val="273"/>
          <w:jc w:val="center"/>
        </w:trPr>
        <w:tc>
          <w:tcPr>
            <w:tcW w:w="286"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230EAC" w:rsidRDefault="00230EAC" w:rsidP="00B67A08">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230EAC" w:rsidRDefault="00230EAC" w:rsidP="00B67A08">
            <w:pPr>
              <w:jc w:val="center"/>
              <w:rPr>
                <w:rFonts w:ascii="Arial" w:hAnsi="Arial" w:cs="Arial"/>
                <w:color w:val="000000"/>
                <w:sz w:val="20"/>
                <w:szCs w:val="20"/>
              </w:rPr>
            </w:pPr>
            <w:r>
              <w:rPr>
                <w:rFonts w:ascii="Arial" w:hAnsi="Arial" w:cs="Arial"/>
                <w:color w:val="000000"/>
                <w:sz w:val="20"/>
                <w:szCs w:val="20"/>
              </w:rPr>
              <w:t>15*</w:t>
            </w:r>
          </w:p>
        </w:tc>
      </w:tr>
      <w:tr w:rsidR="00230EAC" w:rsidTr="00B67A08">
        <w:trPr>
          <w:trHeight w:val="197"/>
          <w:jc w:val="center"/>
        </w:trPr>
        <w:tc>
          <w:tcPr>
            <w:tcW w:w="5000" w:type="pct"/>
            <w:gridSpan w:val="4"/>
            <w:tcMar>
              <w:top w:w="0" w:type="dxa"/>
              <w:left w:w="45" w:type="dxa"/>
              <w:bottom w:w="0" w:type="dxa"/>
              <w:right w:w="45" w:type="dxa"/>
            </w:tcMar>
            <w:vAlign w:val="center"/>
            <w:hideMark/>
          </w:tcPr>
          <w:p w:rsidR="00230EAC" w:rsidRDefault="00230EAC" w:rsidP="00B67A08">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230EAC" w:rsidRDefault="00230EAC" w:rsidP="00230EA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230EAC" w:rsidRDefault="00230EAC" w:rsidP="00230EAC">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230EAC" w:rsidRDefault="00230EAC" w:rsidP="00230EAC">
      <w:pPr>
        <w:spacing w:line="259" w:lineRule="auto"/>
        <w:rPr>
          <w:rFonts w:ascii="Arial" w:hAnsi="Arial" w:cs="Arial"/>
          <w:sz w:val="20"/>
          <w:szCs w:val="20"/>
        </w:rPr>
      </w:pPr>
    </w:p>
    <w:p w:rsidR="00230EAC" w:rsidRDefault="00230EAC" w:rsidP="00230EAC">
      <w:pPr>
        <w:spacing w:after="0"/>
      </w:pPr>
    </w:p>
    <w:p w:rsidR="00230EAC" w:rsidRDefault="00230EAC" w:rsidP="00230EAC">
      <w:pPr>
        <w:spacing w:after="0"/>
      </w:pPr>
      <w:r>
        <w:t>More details can be referred to in the below link.</w:t>
      </w:r>
    </w:p>
    <w:p w:rsidR="00230EAC" w:rsidRDefault="00230EAC" w:rsidP="00230EAC">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37"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911528" w:rsidRDefault="00911528" w:rsidP="00911528">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October 11,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Dear Sir / Madam,</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38"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39"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r>
        <w:t>More details can be referred to in the below link.</w:t>
      </w:r>
    </w:p>
    <w:p w:rsidR="00911528" w:rsidRDefault="00911528" w:rsidP="009115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9A1791">
          <w:rPr>
            <w:rStyle w:val="Hyperlink"/>
            <w:rFonts w:ascii="Arial" w:hAnsi="Arial" w:cs="Arial"/>
            <w:bCs/>
            <w:sz w:val="20"/>
            <w:szCs w:val="20"/>
          </w:rPr>
          <w:t>https://rbi.org.in/Scripts/NotificationUser.aspx?Id=12402&amp;Mode=0</w:t>
        </w:r>
      </w:hyperlink>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230EAC">
      <w:pPr>
        <w:spacing w:after="0"/>
      </w:pPr>
    </w:p>
    <w:p w:rsidR="00911528" w:rsidRDefault="00911528" w:rsidP="00911528">
      <w:pPr>
        <w:pStyle w:val="NormalWeb"/>
        <w:rPr>
          <w:rFonts w:ascii="Arial" w:hAnsi="Arial" w:cs="Arial"/>
          <w:b/>
          <w:bCs/>
          <w:color w:val="000000"/>
          <w:sz w:val="20"/>
          <w:szCs w:val="20"/>
        </w:rPr>
      </w:pPr>
      <w:r>
        <w:rPr>
          <w:rFonts w:ascii="Arial" w:hAnsi="Arial" w:cs="Arial"/>
          <w:b/>
          <w:bCs/>
          <w:color w:val="000000"/>
          <w:sz w:val="20"/>
          <w:szCs w:val="20"/>
        </w:rPr>
        <w:lastRenderedPageBreak/>
        <w:t>Claims Received from the National Credit Guarantee Trustee Company Ltd (NCGTC) - Classification for the Purpose of Maintenance of Cash Reserve Ratio (CRR)/Statutory Liquidity Ratio (SLR)</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October 13, 2022</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Madam/Dear Sir,</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41"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 w:rsidR="00911528" w:rsidRDefault="00911528" w:rsidP="00911528"/>
    <w:p w:rsidR="00911528" w:rsidRDefault="00911528" w:rsidP="00911528">
      <w:r>
        <w:t>More details can be referred to in the below link.</w:t>
      </w:r>
    </w:p>
    <w:p w:rsidR="00911528" w:rsidRDefault="00911528" w:rsidP="00911528">
      <w:pPr>
        <w:spacing w:after="0"/>
        <w:rPr>
          <w:rStyle w:val="Hyperlink"/>
          <w:rFonts w:ascii="Arial" w:hAnsi="Arial" w:cs="Arial"/>
          <w:sz w:val="20"/>
          <w:szCs w:val="20"/>
        </w:rPr>
      </w:pPr>
      <w:r>
        <w:rPr>
          <w:rFonts w:ascii="Arial" w:hAnsi="Arial" w:cs="Arial"/>
          <w:bCs/>
          <w:color w:val="000000"/>
          <w:sz w:val="20"/>
          <w:szCs w:val="20"/>
        </w:rPr>
        <w:t xml:space="preserve">Reference Link: </w:t>
      </w:r>
      <w:hyperlink r:id="rId42" w:history="1">
        <w:r w:rsidRPr="006865D6">
          <w:rPr>
            <w:rStyle w:val="Hyperlink"/>
            <w:rFonts w:ascii="Arial" w:hAnsi="Arial" w:cs="Arial"/>
            <w:sz w:val="20"/>
            <w:szCs w:val="20"/>
          </w:rPr>
          <w:t>https://www.rbi.org.in/scripts/FS_Notification.aspx?Id=12403&amp;fn=2&amp;Mode=0</w:t>
        </w:r>
      </w:hyperlink>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after="0"/>
        <w:rPr>
          <w:rStyle w:val="Hyperlink"/>
          <w:rFonts w:ascii="Arial" w:hAnsi="Arial" w:cs="Arial"/>
          <w:sz w:val="20"/>
          <w:szCs w:val="20"/>
        </w:rPr>
      </w:pPr>
    </w:p>
    <w:p w:rsidR="00911528" w:rsidRDefault="00911528" w:rsidP="00911528">
      <w:pPr>
        <w:spacing w:line="259" w:lineRule="auto"/>
        <w:rPr>
          <w:rFonts w:ascii="Arial" w:hAnsi="Arial" w:cs="Arial"/>
          <w:b/>
          <w:bCs/>
          <w:color w:val="000000"/>
          <w:sz w:val="20"/>
          <w:szCs w:val="20"/>
        </w:rPr>
      </w:pPr>
      <w:r>
        <w:rPr>
          <w:rFonts w:ascii="Arial" w:hAnsi="Arial" w:cs="Arial"/>
          <w:b/>
          <w:bCs/>
          <w:color w:val="000000"/>
          <w:sz w:val="20"/>
          <w:szCs w:val="20"/>
        </w:rPr>
        <w:lastRenderedPageBreak/>
        <w:t>Basel III Framework on Liquidity Standards – Standing Deposit Facility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RBI/2022-23/141</w:t>
      </w:r>
      <w:r>
        <w:rPr>
          <w:rFonts w:ascii="Arial" w:hAnsi="Arial" w:cs="Arial"/>
          <w:color w:val="000000"/>
          <w:sz w:val="20"/>
          <w:szCs w:val="20"/>
        </w:rPr>
        <w:br/>
        <w:t>DOR.LRG.REC.83/03.10.001/2022-23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November 23,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Madam/Dear Sir,</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Basel III Framework on Liquidity Standards – Standing Deposit Facility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Please refer to </w:t>
      </w:r>
      <w:hyperlink r:id="rId43" w:tgtFrame="_blank" w:history="1">
        <w:r>
          <w:rPr>
            <w:rStyle w:val="Hyperlink"/>
            <w:rFonts w:ascii="Arial" w:hAnsi="Arial" w:cs="Arial"/>
            <w:sz w:val="20"/>
            <w:szCs w:val="20"/>
          </w:rPr>
          <w:t>circular DBOD.BP.BC.No.120/21.04.098/2013-14 dated June 09, 2014</w:t>
        </w:r>
      </w:hyperlink>
      <w:r>
        <w:rPr>
          <w:rFonts w:ascii="Arial" w:hAnsi="Arial" w:cs="Arial"/>
          <w:color w:val="000000"/>
          <w:sz w:val="20"/>
          <w:szCs w:val="20"/>
        </w:rPr>
        <w:t> on ‘Basel III Framework on Liquidity Standards – Liquidity Coverage Ratio (LCR), Liquidity Risk Monitoring Tools and LCR Disclosure Standards’ and the </w:t>
      </w:r>
      <w:hyperlink r:id="rId44" w:tgtFrame="_blank" w:history="1">
        <w:r>
          <w:rPr>
            <w:rStyle w:val="Hyperlink"/>
            <w:rFonts w:ascii="Arial" w:hAnsi="Arial" w:cs="Arial"/>
            <w:sz w:val="20"/>
            <w:szCs w:val="20"/>
          </w:rPr>
          <w:t>Press Release 2022-2023/41 dated April 08, 2022</w:t>
        </w:r>
      </w:hyperlink>
      <w:r>
        <w:rPr>
          <w:rFonts w:ascii="Arial" w:hAnsi="Arial" w:cs="Arial"/>
          <w:color w:val="000000"/>
          <w:sz w:val="20"/>
          <w:szCs w:val="20"/>
        </w:rPr>
        <w:t> on operationalising of Standing Deposit Facility (SDF).</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2. We have received queries from banks seeking clarification on the treatment of SDF under Liquidity Risk Management Framework.</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3. Accordingly, it is advised that the overnight balances held by banks with RBI under SDF shall be eligible as ‘Level 1 High Quality Liquid Assets (HQLA)’ for computation of LCR.</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Local Area Banks, Regional Rural Banks and Payments Banks).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with immediate effect.</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r>
        <w:t>More details can be referred to in the below link.</w:t>
      </w:r>
    </w:p>
    <w:p w:rsidR="00911528" w:rsidRDefault="00911528" w:rsidP="009115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9A1791">
          <w:rPr>
            <w:rStyle w:val="Hyperlink"/>
            <w:rFonts w:ascii="Arial" w:hAnsi="Arial" w:cs="Arial"/>
            <w:bCs/>
            <w:sz w:val="20"/>
            <w:szCs w:val="20"/>
          </w:rPr>
          <w:t>https://www.rbi.org.in/scripts/NotificationUser.aspx?Id=12413&amp;Mode=0</w:t>
        </w:r>
      </w:hyperlink>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December 01, 2022</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911528" w:rsidRDefault="00911528" w:rsidP="00911528">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6"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47"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 xml:space="preserve">2. In terms of paragraph 3(i)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 Overnight Mumbai Interbank Outright Rate (MIBOR)</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911528" w:rsidRDefault="00911528" w:rsidP="0091152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48"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911528" w:rsidRDefault="00911528" w:rsidP="00911528">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911528" w:rsidRPr="00F81595" w:rsidRDefault="00911528" w:rsidP="0091152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Pr>
        <w:spacing w:after="0"/>
        <w:rPr>
          <w:rFonts w:ascii="Arial" w:hAnsi="Arial" w:cs="Arial"/>
          <w:sz w:val="20"/>
          <w:szCs w:val="20"/>
        </w:rPr>
      </w:pPr>
    </w:p>
    <w:p w:rsidR="00911528" w:rsidRPr="00435B25" w:rsidRDefault="00911528" w:rsidP="00911528">
      <w:pPr>
        <w:spacing w:after="0"/>
        <w:rPr>
          <w:rFonts w:ascii="Arial" w:hAnsi="Arial" w:cs="Arial"/>
          <w:sz w:val="20"/>
          <w:szCs w:val="20"/>
        </w:rPr>
      </w:pPr>
      <w:r w:rsidRPr="00435B25">
        <w:rPr>
          <w:rFonts w:ascii="Arial" w:hAnsi="Arial" w:cs="Arial"/>
          <w:sz w:val="20"/>
          <w:szCs w:val="20"/>
        </w:rPr>
        <w:t>More details can be referred to in the below link.</w:t>
      </w:r>
    </w:p>
    <w:p w:rsidR="00911528" w:rsidRDefault="00911528" w:rsidP="00911528">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9"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911528" w:rsidRDefault="00911528" w:rsidP="00911528">
      <w:pPr>
        <w:spacing w:after="0"/>
      </w:pPr>
    </w:p>
    <w:p w:rsidR="00911528" w:rsidRDefault="00911528" w:rsidP="00911528">
      <w:pPr>
        <w:spacing w:after="0"/>
      </w:pPr>
    </w:p>
    <w:p w:rsidR="00911528" w:rsidRDefault="00911528" w:rsidP="00911528">
      <w:pPr>
        <w:spacing w:after="0"/>
      </w:pPr>
    </w:p>
    <w:p w:rsidR="00911528" w:rsidRDefault="00911528" w:rsidP="00911528">
      <w:pPr>
        <w:spacing w:line="259" w:lineRule="auto"/>
        <w:rPr>
          <w:rFonts w:ascii="Arial" w:hAnsi="Arial" w:cs="Arial"/>
          <w:b/>
          <w:bCs/>
          <w:color w:val="000000"/>
          <w:sz w:val="20"/>
          <w:szCs w:val="20"/>
        </w:rPr>
      </w:pPr>
      <w:r>
        <w:rPr>
          <w:rFonts w:ascii="Arial" w:hAnsi="Arial" w:cs="Arial"/>
          <w:b/>
          <w:bCs/>
          <w:color w:val="000000"/>
          <w:sz w:val="20"/>
          <w:szCs w:val="20"/>
        </w:rPr>
        <w:lastRenderedPageBreak/>
        <w:t>Revised Regulatory Framework for Urban Co-operative Banks (UCBs) – Net Worth and Capital Adequacy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RBI/2022-23/146</w:t>
      </w:r>
      <w:r>
        <w:rPr>
          <w:rFonts w:ascii="Arial" w:hAnsi="Arial" w:cs="Arial"/>
          <w:color w:val="000000"/>
          <w:sz w:val="20"/>
          <w:szCs w:val="20"/>
        </w:rPr>
        <w:br/>
        <w:t>DOR.CAP.REC.No.86/09.18.201/2022-23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December 1,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Dear Sir/Madam,</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Please refer to the Revised Regulatory Framework for Urban Co-operative Banks (UCBs) emanating from the recommendations of Expert Committee on Urban Co-operative Banks (</w:t>
      </w:r>
      <w:hyperlink r:id="rId50" w:tgtFrame="_blank" w:history="1">
        <w:r>
          <w:rPr>
            <w:rStyle w:val="Hyperlink"/>
            <w:rFonts w:ascii="Arial" w:hAnsi="Arial" w:cs="Arial"/>
            <w:sz w:val="20"/>
            <w:szCs w:val="20"/>
          </w:rPr>
          <w:t>Press Release: 2022-2023/561 dated July 19, 2022</w:t>
        </w:r>
      </w:hyperlink>
      <w:r>
        <w:rPr>
          <w:rFonts w:ascii="Arial" w:hAnsi="Arial" w:cs="Arial"/>
          <w:color w:val="000000"/>
          <w:sz w:val="20"/>
          <w:szCs w:val="20"/>
        </w:rPr>
        <w:t>) and </w:t>
      </w:r>
      <w:hyperlink r:id="rId51" w:tgtFrame="_blank" w:history="1">
        <w:r>
          <w:rPr>
            <w:rStyle w:val="Hyperlink"/>
            <w:rFonts w:ascii="Arial" w:hAnsi="Arial" w:cs="Arial"/>
            <w:sz w:val="20"/>
            <w:szCs w:val="20"/>
          </w:rPr>
          <w:t>circular no. DOR.REG.No.84/07.01.000/2022-23 dated December 1, 2022</w:t>
        </w:r>
      </w:hyperlink>
      <w:r>
        <w:rPr>
          <w:rFonts w:ascii="Arial" w:hAnsi="Arial" w:cs="Arial"/>
          <w:color w:val="000000"/>
          <w:sz w:val="20"/>
          <w:szCs w:val="20"/>
        </w:rPr>
        <w:t>, on Revised Regulatory Framework - Categorization of Urban Co-operative Banks (UCBs) for Regulatory Purposes. The detailed guidelines are provided below:</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A. Net Worth</w:t>
      </w:r>
    </w:p>
    <w:p w:rsidR="00911528" w:rsidRDefault="00911528" w:rsidP="00911528">
      <w:pPr>
        <w:pStyle w:val="NormalWeb"/>
        <w:spacing w:after="0" w:afterAutospacing="0"/>
        <w:jc w:val="both"/>
        <w:rPr>
          <w:rFonts w:ascii="Arial" w:hAnsi="Arial" w:cs="Arial"/>
          <w:color w:val="000000"/>
          <w:sz w:val="20"/>
          <w:szCs w:val="20"/>
        </w:rPr>
      </w:pPr>
      <w:r>
        <w:rPr>
          <w:rFonts w:ascii="Arial" w:hAnsi="Arial" w:cs="Arial"/>
          <w:color w:val="000000"/>
          <w:sz w:val="20"/>
          <w:szCs w:val="20"/>
        </w:rPr>
        <w:t>2. UCBs shall have minimum net worth as under:</w:t>
      </w:r>
    </w:p>
    <w:p w:rsidR="00911528" w:rsidRDefault="00911528" w:rsidP="00911528">
      <w:pPr>
        <w:pStyle w:val="NormalWeb"/>
        <w:numPr>
          <w:ilvl w:val="0"/>
          <w:numId w:val="34"/>
        </w:numPr>
        <w:spacing w:before="0" w:beforeAutospacing="0"/>
        <w:ind w:left="0"/>
        <w:jc w:val="both"/>
        <w:rPr>
          <w:rFonts w:ascii="Arial" w:hAnsi="Arial" w:cs="Arial"/>
          <w:color w:val="000000"/>
          <w:sz w:val="20"/>
          <w:szCs w:val="20"/>
        </w:rPr>
      </w:pPr>
      <w:r>
        <w:rPr>
          <w:rFonts w:ascii="Arial" w:hAnsi="Arial" w:cs="Arial"/>
          <w:color w:val="000000"/>
          <w:sz w:val="20"/>
          <w:szCs w:val="20"/>
        </w:rPr>
        <w:t xml:space="preserve">Tier 1 UCBs operating in a single district shall have minimum net worth of ₹2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911528" w:rsidRDefault="00911528" w:rsidP="00911528">
      <w:pPr>
        <w:pStyle w:val="NormalWeb"/>
        <w:numPr>
          <w:ilvl w:val="0"/>
          <w:numId w:val="34"/>
        </w:numPr>
        <w:ind w:left="0"/>
        <w:jc w:val="both"/>
        <w:rPr>
          <w:rFonts w:ascii="Arial" w:hAnsi="Arial" w:cs="Arial"/>
          <w:color w:val="000000"/>
          <w:sz w:val="20"/>
          <w:szCs w:val="20"/>
        </w:rPr>
      </w:pPr>
      <w:r>
        <w:rPr>
          <w:rFonts w:ascii="Arial" w:hAnsi="Arial" w:cs="Arial"/>
          <w:color w:val="000000"/>
          <w:sz w:val="20"/>
          <w:szCs w:val="20"/>
        </w:rPr>
        <w:t xml:space="preserve">All other UCBs (of all tiers) shall have minimum net worth of ₹5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911528" w:rsidRDefault="00911528" w:rsidP="00911528">
      <w:pPr>
        <w:pStyle w:val="NormalWeb"/>
        <w:numPr>
          <w:ilvl w:val="0"/>
          <w:numId w:val="34"/>
        </w:numPr>
        <w:spacing w:after="0" w:afterAutospacing="0"/>
        <w:ind w:left="0"/>
        <w:jc w:val="both"/>
        <w:rPr>
          <w:rFonts w:ascii="Arial" w:hAnsi="Arial" w:cs="Arial"/>
          <w:color w:val="000000"/>
          <w:sz w:val="20"/>
          <w:szCs w:val="20"/>
        </w:rPr>
      </w:pPr>
      <w:r>
        <w:rPr>
          <w:rFonts w:ascii="Arial" w:hAnsi="Arial" w:cs="Arial"/>
          <w:color w:val="000000"/>
          <w:sz w:val="20"/>
          <w:szCs w:val="20"/>
        </w:rPr>
        <w:t xml:space="preserve">UCBs which currently do not meet the minimum net worth requirement, as above, shall achieve the minimum net worth of ₹2 crore or ₹5 </w:t>
      </w:r>
      <w:proofErr w:type="gramStart"/>
      <w:r>
        <w:rPr>
          <w:rFonts w:ascii="Arial" w:hAnsi="Arial" w:cs="Arial"/>
          <w:color w:val="000000"/>
          <w:sz w:val="20"/>
          <w:szCs w:val="20"/>
        </w:rPr>
        <w:t>crore</w:t>
      </w:r>
      <w:proofErr w:type="gramEnd"/>
      <w:r>
        <w:rPr>
          <w:rFonts w:ascii="Arial" w:hAnsi="Arial" w:cs="Arial"/>
          <w:color w:val="000000"/>
          <w:sz w:val="20"/>
          <w:szCs w:val="20"/>
        </w:rPr>
        <w:t xml:space="preserve"> (as applicable) in a phased manner. Such UCBs shall achieve at least 50 per cent of the applicable minimum net worth on or before March 31, 2026 and the entire stipulated minimum net worth on or before March 31, 2028.</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B. Minimum capital to risk weighted assets ratio (CRAR) requirement</w:t>
      </w:r>
    </w:p>
    <w:p w:rsidR="00911528" w:rsidRDefault="00911528" w:rsidP="00911528">
      <w:pPr>
        <w:pStyle w:val="NormalWeb"/>
        <w:spacing w:after="0" w:afterAutospacing="0"/>
        <w:jc w:val="both"/>
        <w:rPr>
          <w:rFonts w:ascii="Arial" w:hAnsi="Arial" w:cs="Arial"/>
          <w:color w:val="000000"/>
          <w:sz w:val="20"/>
          <w:szCs w:val="20"/>
        </w:rPr>
      </w:pPr>
      <w:r>
        <w:rPr>
          <w:rFonts w:ascii="Arial" w:hAnsi="Arial" w:cs="Arial"/>
          <w:color w:val="000000"/>
          <w:sz w:val="20"/>
          <w:szCs w:val="20"/>
        </w:rPr>
        <w:t>3. UCBs shall maintain minimum CRAR as under:</w:t>
      </w:r>
    </w:p>
    <w:p w:rsidR="00911528" w:rsidRDefault="00911528" w:rsidP="00911528">
      <w:pPr>
        <w:pStyle w:val="NormalWeb"/>
        <w:numPr>
          <w:ilvl w:val="0"/>
          <w:numId w:val="35"/>
        </w:numPr>
        <w:spacing w:before="0" w:beforeAutospacing="0"/>
        <w:ind w:left="0"/>
        <w:jc w:val="both"/>
        <w:rPr>
          <w:rFonts w:ascii="Arial" w:hAnsi="Arial" w:cs="Arial"/>
          <w:color w:val="000000"/>
          <w:sz w:val="20"/>
          <w:szCs w:val="20"/>
        </w:rPr>
      </w:pPr>
      <w:r>
        <w:rPr>
          <w:rFonts w:ascii="Arial" w:hAnsi="Arial" w:cs="Arial"/>
          <w:color w:val="000000"/>
          <w:sz w:val="20"/>
          <w:szCs w:val="20"/>
        </w:rPr>
        <w:t>Tier 1 UCBs shall maintain, as hitherto, a minimum CRAR of 9 per cent of Risk Weighted Assets (RWAs) on an ongoing basis.</w:t>
      </w:r>
    </w:p>
    <w:p w:rsidR="00911528" w:rsidRDefault="00911528" w:rsidP="00911528">
      <w:pPr>
        <w:pStyle w:val="NormalWeb"/>
        <w:numPr>
          <w:ilvl w:val="0"/>
          <w:numId w:val="35"/>
        </w:numPr>
        <w:ind w:left="0"/>
        <w:jc w:val="both"/>
        <w:rPr>
          <w:rFonts w:ascii="Arial" w:hAnsi="Arial" w:cs="Arial"/>
          <w:color w:val="000000"/>
          <w:sz w:val="20"/>
          <w:szCs w:val="20"/>
        </w:rPr>
      </w:pPr>
      <w:r>
        <w:rPr>
          <w:rFonts w:ascii="Arial" w:hAnsi="Arial" w:cs="Arial"/>
          <w:color w:val="000000"/>
          <w:sz w:val="20"/>
          <w:szCs w:val="20"/>
        </w:rPr>
        <w:t>Tier 2 to 4 UCBs shall maintain a minimum CRAR of 12 per cent of RWAs on an ongoing basis.</w:t>
      </w:r>
    </w:p>
    <w:p w:rsidR="00911528" w:rsidRDefault="00911528" w:rsidP="00911528">
      <w:pPr>
        <w:pStyle w:val="NormalWeb"/>
        <w:numPr>
          <w:ilvl w:val="0"/>
          <w:numId w:val="35"/>
        </w:numPr>
        <w:spacing w:after="0" w:afterAutospacing="0"/>
        <w:ind w:left="0"/>
        <w:jc w:val="both"/>
        <w:rPr>
          <w:rFonts w:ascii="Arial" w:hAnsi="Arial" w:cs="Arial"/>
          <w:color w:val="000000"/>
          <w:sz w:val="20"/>
          <w:szCs w:val="20"/>
        </w:rPr>
      </w:pPr>
      <w:r>
        <w:rPr>
          <w:rFonts w:ascii="Arial" w:hAnsi="Arial" w:cs="Arial"/>
          <w:color w:val="000000"/>
          <w:sz w:val="20"/>
          <w:szCs w:val="20"/>
        </w:rPr>
        <w:t>UCBs in Tier 2 to 4, which do not currently meet the revised CRAR of 12 per cent of RWAs, shall achieve the same in a phased manner. Such UCBs shall achieve the CRAR of at least 10 per cent by March 31, 2024, 11 per cent by March 31, 2025, and 12 per cent by March 31, 2026.</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C. Revaluation Reserves</w:t>
      </w:r>
    </w:p>
    <w:p w:rsidR="00911528" w:rsidRDefault="00911528" w:rsidP="00911528">
      <w:pPr>
        <w:pStyle w:val="NormalWeb"/>
        <w:spacing w:after="0" w:afterAutospacing="0"/>
        <w:jc w:val="both"/>
        <w:rPr>
          <w:rFonts w:ascii="Arial" w:hAnsi="Arial" w:cs="Arial"/>
          <w:color w:val="000000"/>
          <w:sz w:val="20"/>
          <w:szCs w:val="20"/>
        </w:rPr>
      </w:pPr>
      <w:r>
        <w:rPr>
          <w:rFonts w:ascii="Arial" w:hAnsi="Arial" w:cs="Arial"/>
          <w:color w:val="000000"/>
          <w:sz w:val="20"/>
          <w:szCs w:val="20"/>
        </w:rPr>
        <w:t xml:space="preserve">5. Revaluation reserves, arising out of change in the carrying amount of a bank’s property consequent upon its revaluation, may henceforth be reckoned as Tier 1 capital at a discount of 55 per cent. </w:t>
      </w:r>
    </w:p>
    <w:p w:rsidR="00911528" w:rsidRDefault="00911528" w:rsidP="0091152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r>
        <w:t>More details can be referred to in the below link.</w:t>
      </w:r>
    </w:p>
    <w:p w:rsidR="00911528" w:rsidRDefault="00911528" w:rsidP="009115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2" w:anchor=":~:text=UCBs%20shall%20have%20minimum%20net,worth%20of%20%E2%82%B95%20crore" w:history="1">
        <w:r w:rsidRPr="00735218">
          <w:rPr>
            <w:rStyle w:val="Hyperlink"/>
            <w:rFonts w:ascii="Arial" w:hAnsi="Arial" w:cs="Arial"/>
            <w:bCs/>
            <w:sz w:val="20"/>
            <w:szCs w:val="20"/>
          </w:rPr>
          <w:t>https://m.rbi.org.in/scripts/FS_Notification.aspx?Id=12418&amp;fn=2755&amp;Mode=0#:~:text=UCBs%20shall%20have%20minimum%20net,worth%20of%20%E2%82%B95%20crore</w:t>
        </w:r>
      </w:hyperlink>
      <w:r w:rsidRPr="00587F28">
        <w:rPr>
          <w:rFonts w:ascii="Arial" w:hAnsi="Arial" w:cs="Arial"/>
          <w:bCs/>
          <w:color w:val="000000"/>
          <w:sz w:val="20"/>
          <w:szCs w:val="20"/>
        </w:rPr>
        <w:t>.</w:t>
      </w:r>
    </w:p>
    <w:p w:rsidR="00911528" w:rsidRDefault="00911528" w:rsidP="00911528">
      <w:pPr>
        <w:spacing w:after="0"/>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 Disclosure of material items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RBI/2022-23/155</w:t>
      </w:r>
      <w:r>
        <w:rPr>
          <w:rFonts w:ascii="Arial" w:hAnsi="Arial" w:cs="Arial"/>
          <w:color w:val="000000"/>
          <w:sz w:val="20"/>
          <w:szCs w:val="20"/>
        </w:rPr>
        <w:br/>
        <w:t>DOR.ACC.REC.No.91/21.04.018/2022-23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December 13, 2022</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Madam/Sir,</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Please refer to the notes and instructions for compilation of Balance Sheet and Profit and Loss Account, for commercial banks, as specified in Annexure II to the </w:t>
      </w:r>
      <w:hyperlink r:id="rId53"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(hereinafter referred to as “Directions”).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2. In terms of Part A of Annexure II to the Directions, in case any item under the subhead “Miscellaneous Income” under the head “Schedule 14-Other Income” exceeds one per cent of total income, particulars shall be given in the notes to accounts. Similar instructions exist in case of subhead “Other expenditure” under the head “Schedule 16-Operating Expenses”.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3. In order to ensure greater transparency, it has been decided that banks shall also disclose the particulars of all such items in the notes to accounts wherever any item under the Schedule 5(IV)-Other Liabilities and Provisions</w:t>
      </w:r>
      <w:proofErr w:type="gramStart"/>
      <w:r>
        <w:rPr>
          <w:rFonts w:ascii="Arial" w:hAnsi="Arial" w:cs="Arial"/>
          <w:color w:val="000000"/>
          <w:sz w:val="20"/>
          <w:szCs w:val="20"/>
        </w:rPr>
        <w:t>-“</w:t>
      </w:r>
      <w:proofErr w:type="gramEnd"/>
      <w:r>
        <w:rPr>
          <w:rFonts w:ascii="Arial" w:hAnsi="Arial" w:cs="Arial"/>
          <w:color w:val="000000"/>
          <w:sz w:val="20"/>
          <w:szCs w:val="20"/>
        </w:rPr>
        <w:t>Others (including provisions)” or Schedule 11(VI)-Other Assets-“Others” exceeds one per cent of the total assets.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4. Further, Payments Banks shall also disclose particulars of all such items in the notes to accounts, wherever any item under the Schedule 14(I)-Other Income</w:t>
      </w:r>
      <w:proofErr w:type="gramStart"/>
      <w:r>
        <w:rPr>
          <w:rFonts w:ascii="Arial" w:hAnsi="Arial" w:cs="Arial"/>
          <w:color w:val="000000"/>
          <w:sz w:val="20"/>
          <w:szCs w:val="20"/>
        </w:rPr>
        <w:t>-“</w:t>
      </w:r>
      <w:proofErr w:type="gramEnd"/>
      <w:r>
        <w:rPr>
          <w:rFonts w:ascii="Arial" w:hAnsi="Arial" w:cs="Arial"/>
          <w:color w:val="000000"/>
          <w:sz w:val="20"/>
          <w:szCs w:val="20"/>
        </w:rPr>
        <w:t>Commission, Exchange and Brokerage” exceeds one per cent of the total income.</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5. We also invite attention to Clause 6 of the Chapter IV of the Directions ibid, in terms of which more comprehensive disclosures than the minimum required are encouraged, especially if such disclosures significantly aid in the understanding of the financial position and performance of banks.</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6. These instructions are applicable to all commercial banks. These instructions shall come into effect for disclosures in the notes to the annual financial statements for the year ending March 31, 2023 and onwards.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7. The </w:t>
      </w:r>
      <w:hyperlink r:id="rId54"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shall stand updated to reflect these changes.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Pr="00230EAC" w:rsidRDefault="00911528" w:rsidP="00911528">
      <w:pPr>
        <w:spacing w:after="0"/>
      </w:pPr>
    </w:p>
    <w:p w:rsidR="00911528" w:rsidRDefault="00911528" w:rsidP="00911528">
      <w:r>
        <w:t>More details can be referred to in the below link.</w:t>
      </w:r>
    </w:p>
    <w:p w:rsidR="00230EAC" w:rsidRDefault="00911528" w:rsidP="009115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5" w:history="1">
        <w:r w:rsidRPr="00B27270">
          <w:rPr>
            <w:rStyle w:val="Hyperlink"/>
            <w:rFonts w:ascii="Arial" w:hAnsi="Arial" w:cs="Arial"/>
            <w:bCs/>
            <w:sz w:val="20"/>
            <w:szCs w:val="20"/>
          </w:rPr>
          <w:t>https://rbi.org.in/Scripts/NotificationUser.aspx?Id=12426&amp;Mode=0</w:t>
        </w:r>
      </w:hyperlink>
    </w:p>
    <w:p w:rsidR="00911528" w:rsidRDefault="00911528" w:rsidP="00911528">
      <w:pPr>
        <w:spacing w:line="259" w:lineRule="auto"/>
        <w:rPr>
          <w:rFonts w:ascii="Arial" w:hAnsi="Arial" w:cs="Arial"/>
          <w:bCs/>
          <w:color w:val="000000"/>
          <w:sz w:val="20"/>
          <w:szCs w:val="20"/>
        </w:rPr>
      </w:pPr>
    </w:p>
    <w:p w:rsidR="00911528" w:rsidRDefault="00911528" w:rsidP="00911528">
      <w:pPr>
        <w:spacing w:line="259" w:lineRule="auto"/>
        <w:rPr>
          <w:rFonts w:ascii="Arial" w:hAnsi="Arial" w:cs="Arial"/>
          <w:bCs/>
          <w:color w:val="000000"/>
          <w:sz w:val="20"/>
          <w:szCs w:val="20"/>
        </w:rPr>
      </w:pPr>
    </w:p>
    <w:p w:rsidR="00911528" w:rsidRDefault="00911528" w:rsidP="00911528">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911528" w:rsidRDefault="00911528" w:rsidP="00911528">
      <w:pPr>
        <w:pStyle w:val="NormalWeb"/>
        <w:jc w:val="right"/>
        <w:rPr>
          <w:rFonts w:ascii="Arial" w:hAnsi="Arial" w:cs="Arial"/>
          <w:color w:val="000000"/>
          <w:sz w:val="20"/>
          <w:szCs w:val="20"/>
        </w:rPr>
      </w:pPr>
      <w:r>
        <w:rPr>
          <w:rFonts w:ascii="Arial" w:hAnsi="Arial" w:cs="Arial"/>
          <w:color w:val="000000"/>
          <w:sz w:val="20"/>
          <w:szCs w:val="20"/>
        </w:rPr>
        <w:t>December 26, 2022</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Madam / Dear Sir,</w:t>
      </w:r>
    </w:p>
    <w:p w:rsidR="00911528" w:rsidRDefault="00911528" w:rsidP="00911528">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56"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57"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58" w:anchor="AN1" w:history="1">
        <w:r>
          <w:rPr>
            <w:rStyle w:val="Hyperlink"/>
            <w:rFonts w:ascii="Arial" w:hAnsi="Arial" w:cs="Arial"/>
            <w:sz w:val="20"/>
            <w:szCs w:val="20"/>
          </w:rPr>
          <w:t>Annex</w:t>
        </w:r>
      </w:hyperlink>
      <w:r>
        <w:rPr>
          <w:rFonts w:ascii="Arial" w:hAnsi="Arial" w:cs="Arial"/>
          <w:color w:val="000000"/>
          <w:sz w:val="20"/>
          <w:szCs w:val="20"/>
        </w:rPr>
        <w:t>.</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911528" w:rsidRDefault="00911528" w:rsidP="00911528">
      <w:pPr>
        <w:pStyle w:val="NormalWeb"/>
        <w:jc w:val="both"/>
        <w:rPr>
          <w:rFonts w:ascii="Arial" w:hAnsi="Arial" w:cs="Arial"/>
          <w:color w:val="000000"/>
          <w:sz w:val="20"/>
          <w:szCs w:val="20"/>
        </w:rPr>
      </w:pPr>
      <w:r>
        <w:rPr>
          <w:rFonts w:ascii="Arial" w:hAnsi="Arial" w:cs="Arial"/>
          <w:color w:val="000000"/>
          <w:sz w:val="20"/>
          <w:szCs w:val="20"/>
        </w:rPr>
        <w:t>Yours faithfully,</w:t>
      </w:r>
    </w:p>
    <w:p w:rsidR="00911528" w:rsidRDefault="00911528" w:rsidP="00911528">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911528" w:rsidRDefault="00911528" w:rsidP="00911528">
      <w:pPr>
        <w:spacing w:line="259" w:lineRule="auto"/>
        <w:rPr>
          <w:rFonts w:ascii="Arial" w:hAnsi="Arial" w:cs="Arial"/>
          <w:sz w:val="20"/>
          <w:szCs w:val="20"/>
        </w:rPr>
      </w:pPr>
    </w:p>
    <w:p w:rsidR="00911528" w:rsidRDefault="00911528" w:rsidP="00911528">
      <w:pPr>
        <w:spacing w:line="259" w:lineRule="auto"/>
        <w:rPr>
          <w:rFonts w:ascii="Arial" w:hAnsi="Arial" w:cs="Arial"/>
          <w:sz w:val="20"/>
          <w:szCs w:val="20"/>
        </w:rPr>
      </w:pPr>
    </w:p>
    <w:p w:rsidR="00911528" w:rsidRDefault="00911528" w:rsidP="00911528">
      <w:r>
        <w:t>More details can be referred to in the below link.</w:t>
      </w:r>
    </w:p>
    <w:p w:rsidR="00911528" w:rsidRDefault="00911528" w:rsidP="009115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B27270">
          <w:rPr>
            <w:rStyle w:val="Hyperlink"/>
            <w:rFonts w:ascii="Arial" w:hAnsi="Arial" w:cs="Arial"/>
            <w:bCs/>
            <w:sz w:val="20"/>
            <w:szCs w:val="20"/>
          </w:rPr>
          <w:t>https://m.rbi.org.in/scripts/FS_Notification.aspx?Id=12431&amp;fn=9&amp;Mode=0</w:t>
        </w:r>
      </w:hyperlink>
    </w:p>
    <w:p w:rsidR="00911528" w:rsidRDefault="00911528" w:rsidP="00911528">
      <w:pPr>
        <w:spacing w:line="259" w:lineRule="auto"/>
        <w:rPr>
          <w:rFonts w:ascii="Arial" w:hAnsi="Arial" w:cs="Arial"/>
          <w:sz w:val="20"/>
          <w:szCs w:val="20"/>
        </w:rPr>
      </w:pPr>
    </w:p>
    <w:sectPr w:rsidR="00911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1"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2"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0"/>
  </w:num>
  <w:num w:numId="7">
    <w:abstractNumId w:val="24"/>
  </w:num>
  <w:num w:numId="8">
    <w:abstractNumId w:val="1"/>
  </w:num>
  <w:num w:numId="9">
    <w:abstractNumId w:val="0"/>
  </w:num>
  <w:num w:numId="10">
    <w:abstractNumId w:val="18"/>
  </w:num>
  <w:num w:numId="11">
    <w:abstractNumId w:val="15"/>
  </w:num>
  <w:num w:numId="12">
    <w:abstractNumId w:val="2"/>
  </w:num>
  <w:num w:numId="13">
    <w:abstractNumId w:val="13"/>
  </w:num>
  <w:num w:numId="14">
    <w:abstractNumId w:val="23"/>
  </w:num>
  <w:num w:numId="15">
    <w:abstractNumId w:val="33"/>
  </w:num>
  <w:num w:numId="16">
    <w:abstractNumId w:val="4"/>
  </w:num>
  <w:num w:numId="17">
    <w:abstractNumId w:val="20"/>
  </w:num>
  <w:num w:numId="18">
    <w:abstractNumId w:val="12"/>
  </w:num>
  <w:num w:numId="19">
    <w:abstractNumId w:val="11"/>
  </w:num>
  <w:num w:numId="20">
    <w:abstractNumId w:val="19"/>
  </w:num>
  <w:num w:numId="21">
    <w:abstractNumId w:val="10"/>
  </w:num>
  <w:num w:numId="22">
    <w:abstractNumId w:val="28"/>
  </w:num>
  <w:num w:numId="23">
    <w:abstractNumId w:val="8"/>
  </w:num>
  <w:num w:numId="24">
    <w:abstractNumId w:val="17"/>
  </w:num>
  <w:num w:numId="25">
    <w:abstractNumId w:val="6"/>
  </w:num>
  <w:num w:numId="26">
    <w:abstractNumId w:val="25"/>
  </w:num>
  <w:num w:numId="27">
    <w:abstractNumId w:val="5"/>
  </w:num>
  <w:num w:numId="28">
    <w:abstractNumId w:val="22"/>
  </w:num>
  <w:num w:numId="29">
    <w:abstractNumId w:val="9"/>
  </w:num>
  <w:num w:numId="30">
    <w:abstractNumId w:val="29"/>
  </w:num>
  <w:num w:numId="31">
    <w:abstractNumId w:val="32"/>
  </w:num>
  <w:num w:numId="32">
    <w:abstractNumId w:val="16"/>
  </w:num>
  <w:num w:numId="33">
    <w:abstractNumId w:val="7"/>
  </w:num>
  <w:num w:numId="34">
    <w:abstractNumId w:val="3"/>
  </w:num>
  <w:num w:numId="35">
    <w:abstractNumId w:val="34"/>
  </w:num>
  <w:num w:numId="36">
    <w:abstractNumId w:val="1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E3C4F"/>
    <w:rsid w:val="000F6CB6"/>
    <w:rsid w:val="00121B22"/>
    <w:rsid w:val="00147837"/>
    <w:rsid w:val="00155008"/>
    <w:rsid w:val="00166E3C"/>
    <w:rsid w:val="001B0D06"/>
    <w:rsid w:val="001E7AD4"/>
    <w:rsid w:val="001F219E"/>
    <w:rsid w:val="00213882"/>
    <w:rsid w:val="00230EAC"/>
    <w:rsid w:val="002313C4"/>
    <w:rsid w:val="00245B30"/>
    <w:rsid w:val="002A3764"/>
    <w:rsid w:val="002C55B6"/>
    <w:rsid w:val="00315354"/>
    <w:rsid w:val="00435B25"/>
    <w:rsid w:val="00436D36"/>
    <w:rsid w:val="0045114B"/>
    <w:rsid w:val="004D6B44"/>
    <w:rsid w:val="004E718A"/>
    <w:rsid w:val="005748AD"/>
    <w:rsid w:val="00581BDE"/>
    <w:rsid w:val="00583041"/>
    <w:rsid w:val="005A38FC"/>
    <w:rsid w:val="005D5DB2"/>
    <w:rsid w:val="00645D84"/>
    <w:rsid w:val="0068363E"/>
    <w:rsid w:val="006C5648"/>
    <w:rsid w:val="00706A14"/>
    <w:rsid w:val="00744532"/>
    <w:rsid w:val="007B6CDF"/>
    <w:rsid w:val="008462A3"/>
    <w:rsid w:val="0085415B"/>
    <w:rsid w:val="00911528"/>
    <w:rsid w:val="00912551"/>
    <w:rsid w:val="009126BF"/>
    <w:rsid w:val="009B54D0"/>
    <w:rsid w:val="009F305B"/>
    <w:rsid w:val="00A32EAB"/>
    <w:rsid w:val="00A410BB"/>
    <w:rsid w:val="00A76041"/>
    <w:rsid w:val="00B1420D"/>
    <w:rsid w:val="00B46998"/>
    <w:rsid w:val="00B71788"/>
    <w:rsid w:val="00BB5162"/>
    <w:rsid w:val="00BF2165"/>
    <w:rsid w:val="00C754F7"/>
    <w:rsid w:val="00C8671B"/>
    <w:rsid w:val="00C93B49"/>
    <w:rsid w:val="00CE14AF"/>
    <w:rsid w:val="00CF0868"/>
    <w:rsid w:val="00CF340B"/>
    <w:rsid w:val="00D24841"/>
    <w:rsid w:val="00DB76CD"/>
    <w:rsid w:val="00DE227F"/>
    <w:rsid w:val="00DE6119"/>
    <w:rsid w:val="00E0459A"/>
    <w:rsid w:val="00E65289"/>
    <w:rsid w:val="00EC5CE1"/>
    <w:rsid w:val="00EC7DEE"/>
    <w:rsid w:val="00F6094D"/>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55249740">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460149896">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587424245">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52609577">
      <w:bodyDiv w:val="1"/>
      <w:marLeft w:val="0"/>
      <w:marRight w:val="0"/>
      <w:marTop w:val="0"/>
      <w:marBottom w:val="0"/>
      <w:divBdr>
        <w:top w:val="none" w:sz="0" w:space="0" w:color="auto"/>
        <w:left w:val="none" w:sz="0" w:space="0" w:color="auto"/>
        <w:bottom w:val="none" w:sz="0" w:space="0" w:color="auto"/>
        <w:right w:val="none" w:sz="0" w:space="0" w:color="auto"/>
      </w:divBdr>
    </w:div>
    <w:div w:id="656350376">
      <w:bodyDiv w:val="1"/>
      <w:marLeft w:val="0"/>
      <w:marRight w:val="0"/>
      <w:marTop w:val="0"/>
      <w:marBottom w:val="0"/>
      <w:divBdr>
        <w:top w:val="none" w:sz="0" w:space="0" w:color="auto"/>
        <w:left w:val="none" w:sz="0" w:space="0" w:color="auto"/>
        <w:bottom w:val="none" w:sz="0" w:space="0" w:color="auto"/>
        <w:right w:val="none" w:sz="0" w:space="0" w:color="auto"/>
      </w:divBdr>
    </w:div>
    <w:div w:id="657266621">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35051936">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70128112">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2600833">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1407123">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66551173">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075124043">
      <w:bodyDiv w:val="1"/>
      <w:marLeft w:val="0"/>
      <w:marRight w:val="0"/>
      <w:marTop w:val="0"/>
      <w:marBottom w:val="0"/>
      <w:divBdr>
        <w:top w:val="none" w:sz="0" w:space="0" w:color="auto"/>
        <w:left w:val="none" w:sz="0" w:space="0" w:color="auto"/>
        <w:bottom w:val="none" w:sz="0" w:space="0" w:color="auto"/>
        <w:right w:val="none" w:sz="0" w:space="0" w:color="auto"/>
      </w:divBdr>
    </w:div>
    <w:div w:id="1091663799">
      <w:bodyDiv w:val="1"/>
      <w:marLeft w:val="0"/>
      <w:marRight w:val="0"/>
      <w:marTop w:val="0"/>
      <w:marBottom w:val="0"/>
      <w:divBdr>
        <w:top w:val="none" w:sz="0" w:space="0" w:color="auto"/>
        <w:left w:val="none" w:sz="0" w:space="0" w:color="auto"/>
        <w:bottom w:val="none" w:sz="0" w:space="0" w:color="auto"/>
        <w:right w:val="none" w:sz="0" w:space="0" w:color="auto"/>
      </w:divBdr>
    </w:div>
    <w:div w:id="1095318564">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189180020">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2850461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9208350">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44660143">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7197982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85834400">
      <w:bodyDiv w:val="1"/>
      <w:marLeft w:val="0"/>
      <w:marRight w:val="0"/>
      <w:marTop w:val="0"/>
      <w:marBottom w:val="0"/>
      <w:divBdr>
        <w:top w:val="none" w:sz="0" w:space="0" w:color="auto"/>
        <w:left w:val="none" w:sz="0" w:space="0" w:color="auto"/>
        <w:bottom w:val="none" w:sz="0" w:space="0" w:color="auto"/>
        <w:right w:val="none" w:sz="0" w:space="0" w:color="auto"/>
      </w:divBdr>
    </w:div>
    <w:div w:id="2089963273">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www.rbi.org.in/scripts/FS_Notification.aspx?Id=12377&amp;fn=5&amp;Mode=0" TargetMode="External"/><Relationship Id="rId26" Type="http://schemas.openxmlformats.org/officeDocument/2006/relationships/hyperlink" Target="https://www.rbi.org.in/Scripts/NotificationUser.aspx?Id=12048&amp;Mode=0" TargetMode="External"/><Relationship Id="rId39" Type="http://schemas.openxmlformats.org/officeDocument/2006/relationships/hyperlink" Target="https://rbi.org.in/Scripts/NotificationUser.aspx?Id=12402&amp;Mode=0" TargetMode="External"/><Relationship Id="rId21" Type="http://schemas.openxmlformats.org/officeDocument/2006/relationships/hyperlink" Target="https://rbi.org.in/Scripts/BS_ViewMasDirections.aspx?id=11510" TargetMode="External"/><Relationship Id="rId34" Type="http://schemas.openxmlformats.org/officeDocument/2006/relationships/hyperlink" Target="https://www.rbi.org.in/Scripts/BS_ViewMasDirections.aspx?id=12158" TargetMode="External"/><Relationship Id="rId42" Type="http://schemas.openxmlformats.org/officeDocument/2006/relationships/hyperlink" Target="https://www.rbi.org.in/scripts/FS_Notification.aspx?Id=12403&amp;fn=2&amp;Mode=0" TargetMode="External"/><Relationship Id="rId47" Type="http://schemas.openxmlformats.org/officeDocument/2006/relationships/hyperlink" Target="https://m.rbi.org.in/Scripts/NotificationUser.aspx?Id=11777&amp;Mode=0" TargetMode="External"/><Relationship Id="rId50" Type="http://schemas.openxmlformats.org/officeDocument/2006/relationships/hyperlink" Target="https://m.rbi.org.in/Scripts/BS_PressReleaseDisplay.aspx?prid=54059" TargetMode="External"/><Relationship Id="rId55" Type="http://schemas.openxmlformats.org/officeDocument/2006/relationships/hyperlink" Target="https://rbi.org.in/Scripts/NotificationUser.aspx?Id=12426&amp;Mode=0" TargetMode="External"/><Relationship Id="rId7" Type="http://schemas.openxmlformats.org/officeDocument/2006/relationships/hyperlink" Target="https://www.rbi.org.in/Scripts/NotificationUser.aspx?Id=12099&amp;Mode=0" TargetMode="External"/><Relationship Id="rId2" Type="http://schemas.openxmlformats.org/officeDocument/2006/relationships/numbering" Target="numbering.xml"/><Relationship Id="rId16" Type="http://schemas.openxmlformats.org/officeDocument/2006/relationships/hyperlink" Target="https://www.rbi.org.in/Scripts/BS_ViewMasCirculardetails.aspx?id=12288" TargetMode="External"/><Relationship Id="rId29" Type="http://schemas.openxmlformats.org/officeDocument/2006/relationships/hyperlink" Target="https://m.rbi.org.in/Scripts/BS_ViewMasCirculardetails.aspx?id=12278" TargetMode="External"/><Relationship Id="rId11" Type="http://schemas.openxmlformats.org/officeDocument/2006/relationships/hyperlink" Target="https://www.rbi.org.in/Scripts/BS_ViewMasDirections.aspx?id=10485" TargetMode="External"/><Relationship Id="rId24" Type="http://schemas.openxmlformats.org/officeDocument/2006/relationships/hyperlink" Target="https://www.rbi.org.in/Scripts/NotificationUser.aspx?Id=12366&amp;Mode=0" TargetMode="External"/><Relationship Id="rId32" Type="http://schemas.openxmlformats.org/officeDocument/2006/relationships/hyperlink" Target="https://www.rbi.org.in/Scripts/BS_ViewMasCirculardetails.aspx?id=12278" TargetMode="External"/><Relationship Id="rId37" Type="http://schemas.openxmlformats.org/officeDocument/2006/relationships/hyperlink" Target="https://www.rbi.org.in/scripts/FS_Notification.aspx?Id=12401&amp;fn=2&amp;Mode=0" TargetMode="External"/><Relationship Id="rId40" Type="http://schemas.openxmlformats.org/officeDocument/2006/relationships/hyperlink" Target="https://rbi.org.in/Scripts/NotificationUser.aspx?Id=12402&amp;Mode=0" TargetMode="External"/><Relationship Id="rId45" Type="http://schemas.openxmlformats.org/officeDocument/2006/relationships/hyperlink" Target="https://www.rbi.org.in/scripts/NotificationUser.aspx?Id=12413&amp;Mode=0" TargetMode="External"/><Relationship Id="rId53" Type="http://schemas.openxmlformats.org/officeDocument/2006/relationships/hyperlink" Target="https://rbi.org.in/Scripts/BS_ViewMasDirections.aspx?id=12158" TargetMode="External"/><Relationship Id="rId58" Type="http://schemas.openxmlformats.org/officeDocument/2006/relationships/hyperlink" Target="https://m.rbi.org.in/scripts/FS_Notification.aspx?Id=12431&amp;fn=9&amp;Mode=0"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rbi.org.in/scripts/NotificationUser.aspx?Id=12365&amp;Mode=0" TargetMode="External"/><Relationship Id="rId14" Type="http://schemas.openxmlformats.org/officeDocument/2006/relationships/hyperlink" Target="https://rbi.org.in/Scripts/BS_ViewMasDirections.aspx?id=11510" TargetMode="External"/><Relationship Id="rId22" Type="http://schemas.openxmlformats.org/officeDocument/2006/relationships/hyperlink" Target="https://www.rbi.org.in/Scripts/BS_PressReleaseDisplay.aspx?prid=53979" TargetMode="External"/><Relationship Id="rId27" Type="http://schemas.openxmlformats.org/officeDocument/2006/relationships/hyperlink" Target="https://www.rbi.org.in/Scripts/NotificationUser.aspx?Id=12262&amp;Mode=0" TargetMode="External"/><Relationship Id="rId30" Type="http://schemas.openxmlformats.org/officeDocument/2006/relationships/hyperlink" Target="https://m.rbi.org.in/Scripts/BS_ViewMasCirculardetails.aspx?id=12278" TargetMode="External"/><Relationship Id="rId35" Type="http://schemas.openxmlformats.org/officeDocument/2006/relationships/hyperlink" Target="https://www.rbi.org.in/scripts/FS_Notification.aspx?Id=12401&amp;fn=2&amp;Mode=0" TargetMode="External"/><Relationship Id="rId43" Type="http://schemas.openxmlformats.org/officeDocument/2006/relationships/hyperlink" Target="https://www.rbi.org.in/Scripts/NotificationUser.aspx?Id=8934&amp;Mode=0" TargetMode="External"/><Relationship Id="rId48" Type="http://schemas.openxmlformats.org/officeDocument/2006/relationships/hyperlink" Target="https://m.rbi.org.in/Scripts/NotificationUser.aspx?Id=11601&amp;Mode=0" TargetMode="External"/><Relationship Id="rId56" Type="http://schemas.openxmlformats.org/officeDocument/2006/relationships/hyperlink" Target="https://m.rbi.org.in/Scripts/BS_PressReleaseDisplay.aspx?prid=47819" TargetMode="External"/><Relationship Id="rId8" Type="http://schemas.openxmlformats.org/officeDocument/2006/relationships/hyperlink" Target="https://www.rbi.org.in/Scripts/NotificationUser.aspx?Id=11303&amp;Mode=0" TargetMode="External"/><Relationship Id="rId51" Type="http://schemas.openxmlformats.org/officeDocument/2006/relationships/hyperlink" Target="https://m.rbi.org.in/Scripts/NotificationUser.aspx?Id=12416&amp;Mode=0" TargetMode="External"/><Relationship Id="rId3" Type="http://schemas.openxmlformats.org/officeDocument/2006/relationships/styles" Target="styles.xml"/><Relationship Id="rId12" Type="http://schemas.openxmlformats.org/officeDocument/2006/relationships/hyperlink" Target="https://www.rbi.org.in/Scripts/BS_PressReleaseDisplay.aspx?prid=53979" TargetMode="External"/><Relationship Id="rId17" Type="http://schemas.openxmlformats.org/officeDocument/2006/relationships/hyperlink" Target="https://www.rbi.org.in/scripts/NotificationUser.aspx?Id=12361&amp;Mode=0" TargetMode="External"/><Relationship Id="rId25" Type="http://schemas.openxmlformats.org/officeDocument/2006/relationships/hyperlink" Target="https://m.rbi.org.in/scripts/BS_ViewMasCirculardetails.aspx?id=12367" TargetMode="External"/><Relationship Id="rId33" Type="http://schemas.openxmlformats.org/officeDocument/2006/relationships/hyperlink" Target="https://www.rbi.org.in/Scripts/NotificationUser.aspx?Id=12396&amp;Mode=0" TargetMode="External"/><Relationship Id="rId38" Type="http://schemas.openxmlformats.org/officeDocument/2006/relationships/hyperlink" Target="https://rbi.org.in/Scripts/NotificationUser.aspx?Id=12402&amp;Mode=0" TargetMode="External"/><Relationship Id="rId46" Type="http://schemas.openxmlformats.org/officeDocument/2006/relationships/hyperlink" Target="https://m.rbi.org.in/Scripts/NotificationUser.aspx?Id=11601&amp;Mode=0" TargetMode="External"/><Relationship Id="rId59" Type="http://schemas.openxmlformats.org/officeDocument/2006/relationships/hyperlink" Target="https://m.rbi.org.in/scripts/FS_Notification.aspx?Id=12431&amp;fn=9&amp;Mode=0" TargetMode="External"/><Relationship Id="rId20" Type="http://schemas.openxmlformats.org/officeDocument/2006/relationships/hyperlink" Target="https://www.rbi.org.in/scripts/NotificationUser.aspx?Id=12365&amp;Mode=0" TargetMode="External"/><Relationship Id="rId41" Type="http://schemas.openxmlformats.org/officeDocument/2006/relationships/hyperlink" Target="https://www.rbi.org.in/Scripts/BS_ViewMasDirections.aspx?id=12131" TargetMode="External"/><Relationship Id="rId54" Type="http://schemas.openxmlformats.org/officeDocument/2006/relationships/hyperlink" Target="https://rbi.org.in/Scripts/BS_ViewMasDirections.aspx?id=12158" TargetMode="External"/><Relationship Id="rId1" Type="http://schemas.openxmlformats.org/officeDocument/2006/relationships/customXml" Target="../customXml/item1.xml"/><Relationship Id="rId6" Type="http://schemas.openxmlformats.org/officeDocument/2006/relationships/hyperlink" Target="https://www.rbi.org.in/Scripts/BS_PressReleaseDisplay.aspx?prid=53979" TargetMode="External"/><Relationship Id="rId15" Type="http://schemas.openxmlformats.org/officeDocument/2006/relationships/hyperlink" Target="https://www.rbi.org.in/scripts/NotificationUser.aspx?Id=12356&amp;Mode=0" TargetMode="External"/><Relationship Id="rId23" Type="http://schemas.openxmlformats.org/officeDocument/2006/relationships/hyperlink" Target="https://rbidocs.rbi.org.in/rdocs/content/pdfs/GN3RFEMA01082022.pdf" TargetMode="External"/><Relationship Id="rId28" Type="http://schemas.openxmlformats.org/officeDocument/2006/relationships/hyperlink" Target="https://www.rbi.org.in/Scripts/NotificationUser.aspx?Id=12376&amp;Mode=0" TargetMode="External"/><Relationship Id="rId36" Type="http://schemas.openxmlformats.org/officeDocument/2006/relationships/hyperlink" Target="https://www.rbi.org.in/scripts/FS_Notification.aspx?Id=12401&amp;fn=2&amp;Mode=0" TargetMode="External"/><Relationship Id="rId49" Type="http://schemas.openxmlformats.org/officeDocument/2006/relationships/hyperlink" Target="https://m.rbi.org.in/scripts/FS_Notification.aspx?Id=12414&amp;fn=6&amp;Mode=0" TargetMode="External"/><Relationship Id="rId57" Type="http://schemas.openxmlformats.org/officeDocument/2006/relationships/hyperlink" Target="https://prism.rbi.org.in/DAKSH/portal/" TargetMode="External"/><Relationship Id="rId10" Type="http://schemas.openxmlformats.org/officeDocument/2006/relationships/hyperlink" Target="https://www.rbi.org.in/Scripts/NotificationUser.aspx?Id=11441&amp;Mode=0" TargetMode="External"/><Relationship Id="rId31" Type="http://schemas.openxmlformats.org/officeDocument/2006/relationships/hyperlink" Target="https://m.rbi.org.in/scripts/FS_Notification.aspx?Id=12384&amp;fn=2&amp;Mode=0" TargetMode="External"/><Relationship Id="rId44" Type="http://schemas.openxmlformats.org/officeDocument/2006/relationships/hyperlink" Target="https://www.rbi.org.in/Scripts/BS_PressReleaseDisplay.aspx?prid=53539" TargetMode="External"/><Relationship Id="rId52" Type="http://schemas.openxmlformats.org/officeDocument/2006/relationships/hyperlink" Target="https://m.rbi.org.in/scripts/FS_Notification.aspx?Id=12418&amp;fn=2755&amp;Mode=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bi.org.in/scripts/FS_Notification.aspx?Id=12355&amp;fn=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4C42-D0AC-420B-BD44-D0C7D543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6337</Words>
  <Characters>36127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soumya P</cp:lastModifiedBy>
  <cp:revision>2</cp:revision>
  <dcterms:created xsi:type="dcterms:W3CDTF">2023-03-01T05:27:00Z</dcterms:created>
  <dcterms:modified xsi:type="dcterms:W3CDTF">2023-03-01T05:27:00Z</dcterms:modified>
</cp:coreProperties>
</file>